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D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223">
        <w:rPr>
          <w:noProof/>
          <w:lang w:val="hr-HR" w:eastAsia="hr-HR"/>
        </w:rPr>
        <w:drawing>
          <wp:inline distT="0" distB="0" distL="0" distR="0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CD" w:rsidRPr="002650D4" w:rsidRDefault="000036CD" w:rsidP="0026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0D4">
        <w:rPr>
          <w:rFonts w:ascii="Times New Roman" w:hAnsi="Times New Roman" w:cs="Times New Roman"/>
          <w:b/>
          <w:sz w:val="24"/>
          <w:szCs w:val="24"/>
        </w:rPr>
        <w:t>Mješovita  industrijsko</w:t>
      </w:r>
      <w:proofErr w:type="gramEnd"/>
      <w:r w:rsidRPr="002650D4">
        <w:rPr>
          <w:rFonts w:ascii="Times New Roman" w:hAnsi="Times New Roman" w:cs="Times New Roman"/>
          <w:b/>
          <w:sz w:val="24"/>
          <w:szCs w:val="24"/>
        </w:rPr>
        <w:t xml:space="preserve">-obrtnička  škola                          </w:t>
      </w:r>
    </w:p>
    <w:p w:rsidR="000036CD" w:rsidRPr="002650D4" w:rsidRDefault="000036CD" w:rsidP="0026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>47000 Karlovac, Domobranska 2</w:t>
      </w:r>
    </w:p>
    <w:p w:rsidR="000036CD" w:rsidRPr="002650D4" w:rsidRDefault="000036CD" w:rsidP="002650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265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</w:p>
    <w:p w:rsidR="000036CD" w:rsidRPr="002650D4" w:rsidRDefault="000036CD" w:rsidP="00265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Fax: 047 600853</w:t>
      </w:r>
    </w:p>
    <w:p w:rsidR="000036CD" w:rsidRPr="002650D4" w:rsidRDefault="000036CD" w:rsidP="00265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Ravnatelj: 0917601082</w:t>
      </w:r>
    </w:p>
    <w:p w:rsidR="000036CD" w:rsidRDefault="000036CD" w:rsidP="002650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8" w:history="1">
        <w:r w:rsidRPr="002650D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2650D4" w:rsidRPr="002650D4" w:rsidRDefault="002650D4" w:rsidP="002650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KLASA: 406-03/19-01/</w:t>
      </w:r>
      <w:r w:rsidR="004A79EE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:2133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>-48-01-19-01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Karlovac, 30.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kolovoza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2019.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0036CD" w:rsidRPr="002650D4" w:rsidRDefault="009E4F4A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036CD" w:rsidRPr="002650D4" w:rsidRDefault="000036CD" w:rsidP="000036CD">
      <w:pPr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POZIV NA DOSTAVU PONUDA za: </w:t>
      </w:r>
    </w:p>
    <w:p w:rsidR="000036CD" w:rsidRPr="002650D4" w:rsidRDefault="000036CD" w:rsidP="002650D4">
      <w:pPr>
        <w:pStyle w:val="NoSpacing"/>
        <w:spacing w:line="276" w:lineRule="auto"/>
        <w:ind w:left="1418" w:hanging="7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Postupak jednostavne nabave za uslugu STRUČNOG NADZORA za provedbu projekta Energetska obnova zgrade Mješovite industrijsko-obrtničke škole na adresi Struga 33, 47000 </w:t>
      </w:r>
      <w:bookmarkStart w:id="1" w:name="_Hlk3370058"/>
      <w:bookmarkStart w:id="2" w:name="_Hlk3368017"/>
      <w:bookmarkStart w:id="3" w:name="_Hlk11740296"/>
      <w:bookmarkStart w:id="4" w:name="_Hlk11741150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Karlovac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650D4">
        <w:rPr>
          <w:rFonts w:ascii="Times New Roman" w:hAnsi="Times New Roman" w:cs="Times New Roman"/>
          <w:sz w:val="24"/>
          <w:szCs w:val="24"/>
          <w:lang w:val="hr-HR"/>
        </w:rPr>
        <w:t>KK.04.2.1.04.0683</w:t>
      </w:r>
      <w:proofErr w:type="gramEnd"/>
    </w:p>
    <w:bookmarkEnd w:id="1"/>
    <w:bookmarkEnd w:id="2"/>
    <w:bookmarkEnd w:id="3"/>
    <w:bookmarkEnd w:id="4"/>
    <w:p w:rsidR="000036CD" w:rsidRPr="002650D4" w:rsidRDefault="000036CD" w:rsidP="002650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0D4">
        <w:rPr>
          <w:rFonts w:ascii="Times New Roman" w:eastAsia="MS Mincho" w:hAnsi="Times New Roman" w:cs="Times New Roman"/>
          <w:sz w:val="24"/>
          <w:szCs w:val="24"/>
        </w:rPr>
        <w:t xml:space="preserve">Temeljem članka 15. Zakona o javnoj nabavi („Narodne novine“ br. 120/2016.) za godišnju procijenjenu vrijednost nabave iz Plana nabave za nabavu robe i usluga manju od 200.000,00 kuna bez PDV-a odnosno za nabavu radova manju od 500.000,00 kuna bez PDV-a (tzv. bagatelnu nabavu) naručitelj NIJE obvezan provoditi postupke javne nabave propisane Zakonom </w:t>
      </w:r>
      <w:proofErr w:type="gramStart"/>
      <w:r w:rsidRPr="002650D4">
        <w:rPr>
          <w:rFonts w:ascii="Times New Roman" w:eastAsia="MS Mincho" w:hAnsi="Times New Roman" w:cs="Times New Roman"/>
          <w:sz w:val="24"/>
          <w:szCs w:val="24"/>
        </w:rPr>
        <w:t>o</w:t>
      </w:r>
      <w:proofErr w:type="gramEnd"/>
      <w:r w:rsidRPr="002650D4">
        <w:rPr>
          <w:rFonts w:ascii="Times New Roman" w:eastAsia="MS Mincho" w:hAnsi="Times New Roman" w:cs="Times New Roman"/>
          <w:sz w:val="24"/>
          <w:szCs w:val="24"/>
        </w:rPr>
        <w:t xml:space="preserve"> javnoj nabavi, već pravila, uvjete i postupke jednostavne nabave utvrđuje naručitelj općim aktom - uzimajući u obzir načela javne nabave te mogućnost primjene elektroničkih sredstava komunikacije.</w:t>
      </w:r>
    </w:p>
    <w:p w:rsidR="000036CD" w:rsidRPr="002650D4" w:rsidRDefault="000036CD" w:rsidP="000036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0D4">
        <w:rPr>
          <w:rFonts w:ascii="Times New Roman" w:eastAsia="MS Mincho" w:hAnsi="Times New Roman" w:cs="Times New Roman"/>
          <w:sz w:val="24"/>
          <w:szCs w:val="24"/>
        </w:rPr>
        <w:t>Za ovaj postupak nabave bagatelne vrijednosti primjenjuje se Pravilnik o provedbi postupka jednostavne nabave za Mješovitu industri</w:t>
      </w:r>
      <w:r w:rsidR="002650D4">
        <w:rPr>
          <w:rFonts w:ascii="Times New Roman" w:eastAsia="MS Mincho" w:hAnsi="Times New Roman" w:cs="Times New Roman"/>
          <w:sz w:val="24"/>
          <w:szCs w:val="24"/>
        </w:rPr>
        <w:t xml:space="preserve">jsko-obrtničku školu, Karlovac, </w:t>
      </w:r>
      <w:r w:rsidRPr="002650D4">
        <w:rPr>
          <w:rFonts w:ascii="Times New Roman" w:eastAsia="MS Mincho" w:hAnsi="Times New Roman" w:cs="Times New Roman"/>
          <w:sz w:val="24"/>
          <w:szCs w:val="24"/>
        </w:rPr>
        <w:t xml:space="preserve">kojim se uređuju pravila, uvjeti i postupak provedbe jednostavne nabave roba, usluga i radova koji je objavljen </w:t>
      </w:r>
      <w:proofErr w:type="gramStart"/>
      <w:r w:rsidRPr="002650D4">
        <w:rPr>
          <w:rFonts w:ascii="Times New Roman" w:eastAsia="MS Mincho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MS Mincho" w:hAnsi="Times New Roman" w:cs="Times New Roman"/>
          <w:sz w:val="24"/>
          <w:szCs w:val="24"/>
        </w:rPr>
        <w:t xml:space="preserve"> web stranici Mješovite industrijsko-obrtničke škole, Karlovac: </w:t>
      </w:r>
      <w:hyperlink r:id="rId9" w:history="1">
        <w:r w:rsidRPr="002650D4">
          <w:rPr>
            <w:rStyle w:val="Hyperlink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2650D4">
        <w:rPr>
          <w:rFonts w:ascii="Times New Roman" w:hAnsi="Times New Roman" w:cs="Times New Roman"/>
          <w:sz w:val="24"/>
          <w:szCs w:val="24"/>
        </w:rPr>
        <w:t>.</w:t>
      </w:r>
    </w:p>
    <w:p w:rsidR="000036CD" w:rsidRDefault="000036CD" w:rsidP="000036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0D4">
        <w:rPr>
          <w:rFonts w:ascii="Times New Roman" w:eastAsia="MS Mincho" w:hAnsi="Times New Roman" w:cs="Times New Roman"/>
          <w:sz w:val="24"/>
          <w:szCs w:val="24"/>
        </w:rPr>
        <w:t>U ovom postupku bagatelne nabave primijenjene su i neke odredbe Zakona o javnoj nabavi pa ih ponuditelj mora poštivati (zadovoljiti).</w:t>
      </w:r>
    </w:p>
    <w:p w:rsidR="002650D4" w:rsidRDefault="002650D4" w:rsidP="000036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650D4" w:rsidRPr="002650D4" w:rsidRDefault="002650D4" w:rsidP="000036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36CD" w:rsidRPr="002650D4" w:rsidRDefault="000036CD" w:rsidP="000036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0D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Početak postupka jednostavne nabave smatra se danom slanja Poziva </w:t>
      </w:r>
      <w:proofErr w:type="gramStart"/>
      <w:r w:rsidRPr="002650D4">
        <w:rPr>
          <w:rFonts w:ascii="Times New Roman" w:eastAsia="MS Mincho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MS Mincho" w:hAnsi="Times New Roman" w:cs="Times New Roman"/>
          <w:sz w:val="24"/>
          <w:szCs w:val="24"/>
        </w:rPr>
        <w:t xml:space="preserve"> dostavu ponuda. </w:t>
      </w: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MJEŠOVITA INDUSTRIJSKO-OBRTNIČKA ŠKOLA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Domobranska 2, 47000 Karlovac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OIB: 68371339805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telefon</w:t>
      </w:r>
      <w:proofErr w:type="gramEnd"/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: 047615578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Broj telefaksa: 047600853</w:t>
      </w:r>
    </w:p>
    <w:p w:rsidR="000036CD" w:rsidRPr="002650D4" w:rsidRDefault="000036CD" w:rsidP="002650D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E-mail: </w:t>
      </w:r>
      <w:hyperlink r:id="rId10" w:history="1">
        <w:r w:rsidRPr="002650D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ured@ss-mios-ka.skole.hr</w:t>
        </w:r>
      </w:hyperlink>
    </w:p>
    <w:p w:rsidR="000036CD" w:rsidRPr="002650D4" w:rsidRDefault="000036CD" w:rsidP="000E0F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Internetska adresa:</w:t>
      </w:r>
      <w:r w:rsidRPr="002650D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650D4">
          <w:rPr>
            <w:rStyle w:val="Hyperlink"/>
            <w:rFonts w:ascii="Times New Roman" w:hAnsi="Times New Roman" w:cs="Times New Roman"/>
            <w:sz w:val="24"/>
            <w:szCs w:val="24"/>
          </w:rPr>
          <w:t>http://www.ss-mios-ka.skole.hr</w:t>
        </w:r>
      </w:hyperlink>
    </w:p>
    <w:p w:rsidR="000036CD" w:rsidRPr="002650D4" w:rsidRDefault="000036CD" w:rsidP="000036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0036CD" w:rsidRPr="002650D4" w:rsidRDefault="000036CD" w:rsidP="000036C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SNJEŽANA ERDELJAC, ravnateljica</w:t>
      </w:r>
      <w:r w:rsidRPr="002650D4">
        <w:rPr>
          <w:rFonts w:ascii="Times New Roman" w:eastAsia="Calibri" w:hAnsi="Times New Roman" w:cs="Times New Roman"/>
          <w:sz w:val="24"/>
          <w:szCs w:val="24"/>
        </w:rPr>
        <w:t>, telefon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:047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>/600854; 098/638775</w:t>
      </w:r>
    </w:p>
    <w:p w:rsidR="000036CD" w:rsidRDefault="000036CD" w:rsidP="000E0F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2650D4">
        <w:rPr>
          <w:rFonts w:ascii="Times New Roman" w:eastAsia="Calibri" w:hAnsi="Times New Roman" w:cs="Times New Roman"/>
          <w:sz w:val="24"/>
          <w:szCs w:val="24"/>
        </w:rPr>
        <w:t>snjezana.erdeljac@skole.hr</w:t>
      </w:r>
      <w:r w:rsidR="000E0F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F4F" w:rsidRPr="002650D4" w:rsidRDefault="000E0F4F" w:rsidP="000E0F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Opis predmeta nabave i tehničke specifikacije: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EVIDENCIJSKI BROJ NABAVE</w:t>
      </w:r>
      <w:r w:rsidR="000E0F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124AC" w:rsidRPr="006124AC">
        <w:rPr>
          <w:rFonts w:ascii="Times New Roman" w:eastAsia="Calibri" w:hAnsi="Times New Roman" w:cs="Times New Roman"/>
          <w:sz w:val="24"/>
          <w:szCs w:val="24"/>
        </w:rPr>
        <w:t>12</w:t>
      </w:r>
      <w:r w:rsidR="000E0F4F" w:rsidRPr="006124AC">
        <w:rPr>
          <w:rFonts w:ascii="Times New Roman" w:eastAsia="Calibri" w:hAnsi="Times New Roman" w:cs="Times New Roman"/>
          <w:sz w:val="24"/>
          <w:szCs w:val="24"/>
        </w:rPr>
        <w:t>-2019</w:t>
      </w:r>
      <w:r w:rsidRPr="006124AC">
        <w:rPr>
          <w:rFonts w:ascii="Times New Roman" w:eastAsia="Calibri" w:hAnsi="Times New Roman" w:cs="Times New Roman"/>
          <w:sz w:val="24"/>
          <w:szCs w:val="24"/>
        </w:rPr>
        <w:t>;</w:t>
      </w:r>
      <w:r w:rsidR="000E0F4F" w:rsidRPr="00612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0D4">
        <w:rPr>
          <w:rFonts w:ascii="Times New Roman" w:eastAsia="Calibri" w:hAnsi="Times New Roman" w:cs="Times New Roman"/>
          <w:sz w:val="24"/>
          <w:szCs w:val="24"/>
        </w:rPr>
        <w:t>CPV oznaka 71247000-1</w:t>
      </w:r>
    </w:p>
    <w:p w:rsidR="000E0F4F" w:rsidRPr="000E0F4F" w:rsidRDefault="000E0F4F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PREDMET NABAVE: </w:t>
      </w:r>
    </w:p>
    <w:p w:rsidR="000036CD" w:rsidRPr="000E0F4F" w:rsidRDefault="000036CD" w:rsidP="000E0F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b/>
          <w:sz w:val="24"/>
          <w:szCs w:val="24"/>
        </w:rPr>
        <w:t>USLUGA STRUČNOG NADZORA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nad izvođenjem radova za provedbu projekta Energetske obnove zgrade Mješovite industrijsko-obrtničke škole na adresi Struga 33, 47000 Karlovac -  </w:t>
      </w:r>
      <w:r w:rsidRPr="002650D4">
        <w:rPr>
          <w:rFonts w:ascii="Times New Roman" w:hAnsi="Times New Roman" w:cs="Times New Roman"/>
          <w:sz w:val="24"/>
          <w:szCs w:val="24"/>
        </w:rPr>
        <w:t>KK.04.2.1.04.0683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sukladno Zakonu o gradnji („Narodne novine“ br. 153/13. i 20/17.), Zakonu o poslovima i djelatnostima</w:t>
      </w:r>
      <w:r w:rsidR="000E0F4F">
        <w:rPr>
          <w:rFonts w:ascii="Times New Roman" w:eastAsia="Calibri" w:hAnsi="Times New Roman" w:cs="Times New Roman"/>
          <w:sz w:val="24"/>
          <w:szCs w:val="24"/>
        </w:rPr>
        <w:t xml:space="preserve"> prostornog uređenja i gradnje </w:t>
      </w:r>
      <w:r w:rsidRPr="002650D4">
        <w:rPr>
          <w:rFonts w:ascii="Times New Roman" w:eastAsia="Calibri" w:hAnsi="Times New Roman" w:cs="Times New Roman"/>
          <w:sz w:val="24"/>
          <w:szCs w:val="24"/>
        </w:rPr>
        <w:t>(„Narodne novine“ br.</w:t>
      </w:r>
      <w:r w:rsidR="000E0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78/15.) i podzakonskim propisima. </w:t>
      </w:r>
    </w:p>
    <w:p w:rsidR="000036CD" w:rsidRPr="002650D4" w:rsidRDefault="000036CD" w:rsidP="000E0F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Usluge stručnog nadzora koje su obuhvaćene predmetom nabave uključuju: </w:t>
      </w:r>
    </w:p>
    <w:p w:rsidR="000036CD" w:rsidRPr="002650D4" w:rsidRDefault="000036CD" w:rsidP="000E0F4F">
      <w:pPr>
        <w:spacing w:after="0"/>
        <w:ind w:lef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-</w:t>
      </w:r>
      <w:r w:rsidRPr="002650D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usluge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stručnog nadzora građevinskih i obrtničkih radova, </w:t>
      </w:r>
    </w:p>
    <w:p w:rsidR="000036CD" w:rsidRPr="002650D4" w:rsidRDefault="000036CD" w:rsidP="000E0F4F">
      <w:pPr>
        <w:spacing w:after="0"/>
        <w:ind w:lef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-</w:t>
      </w:r>
      <w:r w:rsidRPr="002650D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usluge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stručnog nadzora elektrotehničkih radova, </w:t>
      </w:r>
    </w:p>
    <w:p w:rsidR="000036CD" w:rsidRPr="002650D4" w:rsidRDefault="000036CD" w:rsidP="000E0F4F">
      <w:pPr>
        <w:spacing w:after="0"/>
        <w:ind w:lef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-</w:t>
      </w:r>
      <w:r w:rsidRPr="002650D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usluge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stručnog nadzora strojarskih radova.</w:t>
      </w:r>
    </w:p>
    <w:p w:rsidR="000036CD" w:rsidRPr="002650D4" w:rsidRDefault="000036CD" w:rsidP="000036CD">
      <w:pPr>
        <w:ind w:left="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0E0F4F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Radovi koji su predmet stručnog nadzora izvode se sukladno Glavnom projektu zajedničke oznake 2018133 koji se sastoji </w:t>
      </w:r>
      <w:proofErr w:type="gramStart"/>
      <w:r w:rsidRPr="000E0F4F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 slijedećih mapa:</w:t>
      </w:r>
    </w:p>
    <w:p w:rsidR="000036CD" w:rsidRPr="000E0F4F" w:rsidRDefault="000036CD" w:rsidP="000036C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>Glavni arhitektonski projekt 15/2018, mapa 1/6</w:t>
      </w:r>
    </w:p>
    <w:p w:rsidR="000036CD" w:rsidRPr="000E0F4F" w:rsidRDefault="000036CD" w:rsidP="000036C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Glavni projekt racionalne uporabe energije i toplinske zaštite zgrade, 2018133, </w:t>
      </w:r>
      <w:r w:rsidR="000E0F4F">
        <w:rPr>
          <w:rFonts w:ascii="Times New Roman" w:eastAsia="Calibri" w:hAnsi="Times New Roman" w:cs="Times New Roman"/>
          <w:sz w:val="24"/>
          <w:szCs w:val="24"/>
        </w:rPr>
        <w:t xml:space="preserve">mapa </w:t>
      </w:r>
      <w:r w:rsidRPr="000E0F4F">
        <w:rPr>
          <w:rFonts w:ascii="Times New Roman" w:eastAsia="Calibri" w:hAnsi="Times New Roman" w:cs="Times New Roman"/>
          <w:sz w:val="24"/>
          <w:szCs w:val="24"/>
        </w:rPr>
        <w:t>2/6</w:t>
      </w:r>
    </w:p>
    <w:p w:rsidR="000036CD" w:rsidRPr="000E0F4F" w:rsidRDefault="000036CD" w:rsidP="000036C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Glavni elektrotehnički projekt 046/18, </w:t>
      </w:r>
      <w:r w:rsidR="000E0F4F">
        <w:rPr>
          <w:rFonts w:ascii="Times New Roman" w:eastAsia="Calibri" w:hAnsi="Times New Roman" w:cs="Times New Roman"/>
          <w:sz w:val="24"/>
          <w:szCs w:val="24"/>
        </w:rPr>
        <w:t>mapa</w:t>
      </w: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 3/6</w:t>
      </w:r>
    </w:p>
    <w:p w:rsidR="000036CD" w:rsidRPr="000E0F4F" w:rsidRDefault="000036CD" w:rsidP="000036C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Glavni strojarski projekt, 1376-18,  </w:t>
      </w:r>
      <w:r w:rsidR="000E0F4F">
        <w:rPr>
          <w:rFonts w:ascii="Times New Roman" w:eastAsia="Calibri" w:hAnsi="Times New Roman" w:cs="Times New Roman"/>
          <w:sz w:val="24"/>
          <w:szCs w:val="24"/>
        </w:rPr>
        <w:t>mapa</w:t>
      </w: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 4/6</w:t>
      </w:r>
    </w:p>
    <w:p w:rsidR="000036CD" w:rsidRPr="000E0F4F" w:rsidRDefault="000036CD" w:rsidP="000036C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>Troškovnik 2018133-T, mapa 5/6</w:t>
      </w:r>
    </w:p>
    <w:p w:rsidR="000036CD" w:rsidRDefault="000036CD" w:rsidP="000036C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Plan izvođenja radova, </w:t>
      </w:r>
      <w:r w:rsidR="006124AC">
        <w:rPr>
          <w:rFonts w:ascii="Times New Roman" w:eastAsia="Calibri" w:hAnsi="Times New Roman" w:cs="Times New Roman"/>
          <w:sz w:val="24"/>
          <w:szCs w:val="24"/>
        </w:rPr>
        <w:t xml:space="preserve">2018133-ZNR, </w:t>
      </w:r>
      <w:proofErr w:type="gramStart"/>
      <w:r w:rsidR="006124AC">
        <w:rPr>
          <w:rFonts w:ascii="Times New Roman" w:eastAsia="Calibri" w:hAnsi="Times New Roman" w:cs="Times New Roman"/>
          <w:sz w:val="24"/>
          <w:szCs w:val="24"/>
        </w:rPr>
        <w:t>mapa</w:t>
      </w:r>
      <w:proofErr w:type="gramEnd"/>
      <w:r w:rsidR="006124AC">
        <w:rPr>
          <w:rFonts w:ascii="Times New Roman" w:eastAsia="Calibri" w:hAnsi="Times New Roman" w:cs="Times New Roman"/>
          <w:sz w:val="24"/>
          <w:szCs w:val="24"/>
        </w:rPr>
        <w:t xml:space="preserve"> 6/6.</w:t>
      </w:r>
    </w:p>
    <w:p w:rsidR="000E0F4F" w:rsidRDefault="000E0F4F" w:rsidP="000E0F4F">
      <w:p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F4F" w:rsidRPr="000E0F4F" w:rsidRDefault="000E0F4F" w:rsidP="000E0F4F">
      <w:p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0E0F4F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Navedena projektno-tehnička dokumentacija za izvođenje radova biti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dostavljena na upit ponuditelja ili najkasnije prilikom sklapanja ugovora.</w:t>
      </w:r>
    </w:p>
    <w:p w:rsidR="000036CD" w:rsidRPr="000E0F4F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OBVEZA OBAVLJANJA STRUČNOG NADZORA provodi se kontinuirano tijekom izvođenja radova, a sukladno Pravilniku o načinu provedbe stručnog nadzora građenja, obrascu, uvjetima i načinu vođenja građevinskog dnevnika te o sadržaju završnog izvješća nadzornog inženjera („Narodne novine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“ br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 11/14., 107/15.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20/17.), važećim zakonima i pravilima struke. </w:t>
      </w:r>
    </w:p>
    <w:p w:rsidR="000036CD" w:rsidRPr="002650D4" w:rsidRDefault="000036CD" w:rsidP="000036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Osim aktivnosti određen</w:t>
      </w:r>
      <w:r w:rsidR="000E0F4F">
        <w:rPr>
          <w:rFonts w:ascii="Times New Roman" w:eastAsia="Calibri" w:hAnsi="Times New Roman" w:cs="Times New Roman"/>
          <w:sz w:val="24"/>
          <w:szCs w:val="24"/>
        </w:rPr>
        <w:t xml:space="preserve">ih člankom 58. Zakona o gradnji </w:t>
      </w:r>
      <w:r w:rsidRPr="002650D4">
        <w:rPr>
          <w:rFonts w:ascii="Times New Roman" w:eastAsia="Calibri" w:hAnsi="Times New Roman" w:cs="Times New Roman"/>
          <w:sz w:val="24"/>
          <w:szCs w:val="24"/>
        </w:rPr>
        <w:t>(„Narodne novine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“ br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 153/13.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20/17.), usluga stručnog nadzora obuhvaća i sljedeće:</w:t>
      </w:r>
    </w:p>
    <w:p w:rsidR="000036CD" w:rsidRPr="000E0F4F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4F">
        <w:rPr>
          <w:rFonts w:ascii="Times New Roman" w:eastAsia="Calibri" w:hAnsi="Times New Roman" w:cs="Times New Roman"/>
          <w:sz w:val="24"/>
          <w:szCs w:val="24"/>
        </w:rPr>
        <w:t xml:space="preserve">provjeru trošenja sredstava po namjeni, dinamici i visini (kontrola: izmjera, građevinske knjige, situacija, proračuna razlike u cijeni, obračuna nepredviđenih i naknadnih radova, realizacije planirane dinamike financiranja, utroška sredstava u odnosu na postavke iz investicijskog iznosa, režijskih sati radnika i mehanizacije, poduzimanje odgovarajućih mjera ako se ocijeni da će doći do prekoračenja investicijskog iznosa); </w:t>
      </w:r>
    </w:p>
    <w:p w:rsidR="000036CD" w:rsidRPr="002650D4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provjeru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ugovorenih rokova (utvrđivanje rokova početka, praćenje odvijanja radova prema planu izvođenja radova te interveniranje u slučaju odstupanja od plana, kontrola da li gradilište raspolaže s radnicima odgovarajuće kvalifikacijske strukture i odgovarajućom mehanizacijom prema operativnom planu, pregled eventualnog rebalansa plana, kontrola među rokova i sl.); </w:t>
      </w:r>
    </w:p>
    <w:p w:rsidR="000036CD" w:rsidRPr="002650D4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provjeru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kvalitete radova (vizualni pregled, kontrola i pregled dokumentacije kojom </w:t>
      </w:r>
      <w:r w:rsidR="000E0F4F">
        <w:rPr>
          <w:rFonts w:ascii="Times New Roman" w:eastAsia="Calibri" w:hAnsi="Times New Roman" w:cs="Times New Roman"/>
          <w:sz w:val="24"/>
          <w:szCs w:val="24"/>
        </w:rPr>
        <w:t>o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dabrani izvođač radova dokazuje kvalitetu u pogledu rezultata ispitivanja i učestalosti, nazočnost kod uzimanja uzoraka za ispitivanje, preuzimanje radova, pregled pogona Odabranog izvođača radova i podizvođača izvan gradilišta, preuzimanje opreme, organiziranje kontrolnih ispitivanja, po potrebi organiziranje pregleda po specijaliziranim stručnjacima, poduzimanje mjera za otklanjanje nedostataka i dr.); </w:t>
      </w:r>
    </w:p>
    <w:p w:rsidR="000036CD" w:rsidRPr="002650D4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ostalo (kontrola unošenja podataka u građevinski dnevnik, ovjeravanje situacija, razni izvještaji i analize, prikupljanje dokumentacije na gradilištu koja je potrebna FZOEU, koordiniranje rada pojedinih sudionika u gradnji, sudjelovanje u postupku primopredaje i konačnog obračuna te obavljanje drugih poslova ako je za to ovlašten od Naručitelja); </w:t>
      </w:r>
    </w:p>
    <w:p w:rsidR="000036CD" w:rsidRPr="002650D4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pisano mjesečno izvješćivanje Naručitelja o izvedenim radovima;</w:t>
      </w:r>
    </w:p>
    <w:p w:rsidR="000036CD" w:rsidRPr="002650D4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pravovremeno obavještavanje Naručitelja o svim okolnostima koje utječu ili mogu utjecati na izvođenje radova, odnosno provedbu projekta bez kašnjenja, odnosno o onim okolnostima koje mogu dovesti do odstupanja u pravovremenom izvršavanju aktivnosti iz projekta; </w:t>
      </w:r>
    </w:p>
    <w:p w:rsidR="000036CD" w:rsidRPr="002650D4" w:rsidRDefault="000036CD" w:rsidP="000036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surađivanje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 Projektantskim nadzorom.</w:t>
      </w:r>
    </w:p>
    <w:p w:rsidR="000036CD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F4A" w:rsidRDefault="009E4F4A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F4A" w:rsidRPr="002650D4" w:rsidRDefault="009E4F4A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PROCIJENJENA VRIJEDNOST NABAVE USLUGA: (bez PDV):</w:t>
      </w:r>
    </w:p>
    <w:p w:rsidR="000036CD" w:rsidRPr="002650D4" w:rsidRDefault="006D2BF9" w:rsidP="000036C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85.000,00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</w:p>
    <w:p w:rsidR="000036CD" w:rsidRPr="002650D4" w:rsidRDefault="006D2BF9" w:rsidP="000036C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21.250,00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kn </w:t>
      </w:r>
      <w:r w:rsidR="009E4F4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PDV</w:t>
      </w:r>
    </w:p>
    <w:p w:rsidR="000036CD" w:rsidRPr="002650D4" w:rsidRDefault="000036CD" w:rsidP="000036C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UKUPNO OSIGURANA SRED</w:t>
      </w:r>
      <w:r w:rsidR="000E0F4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>TVA ZA USLUGU STRUČNOG NADZORA:</w:t>
      </w:r>
      <w:r w:rsidR="000E0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BF9">
        <w:rPr>
          <w:rFonts w:ascii="Times New Roman" w:eastAsia="Calibri" w:hAnsi="Times New Roman" w:cs="Times New Roman"/>
          <w:b/>
          <w:sz w:val="24"/>
          <w:szCs w:val="24"/>
        </w:rPr>
        <w:t>106.250,00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</w:p>
    <w:p w:rsidR="000036CD" w:rsidRPr="002650D4" w:rsidRDefault="000036CD" w:rsidP="000036CD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KRITERIJ ZA ODABIR GOSPODARSKOG SUBJEKTA (uvjeti sposobnosti):</w:t>
      </w:r>
    </w:p>
    <w:p w:rsidR="000036CD" w:rsidRPr="002650D4" w:rsidRDefault="000036CD" w:rsidP="000036C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E0F4F">
      <w:pPr>
        <w:tabs>
          <w:tab w:val="left" w:pos="709"/>
          <w:tab w:val="center" w:pos="3989"/>
        </w:tabs>
        <w:spacing w:after="0" w:line="264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0D4">
        <w:rPr>
          <w:rFonts w:ascii="Times New Roman" w:hAnsi="Times New Roman" w:cs="Times New Roman"/>
          <w:color w:val="000000"/>
          <w:sz w:val="24"/>
          <w:szCs w:val="24"/>
        </w:rPr>
        <w:t xml:space="preserve">Ponuditelj u ovom postupku jednostavne nabave mora dokazati: </w:t>
      </w:r>
    </w:p>
    <w:p w:rsidR="000036CD" w:rsidRPr="002650D4" w:rsidRDefault="000036CD" w:rsidP="000E0F4F">
      <w:pPr>
        <w:numPr>
          <w:ilvl w:val="0"/>
          <w:numId w:val="12"/>
        </w:numPr>
        <w:spacing w:after="0" w:line="264" w:lineRule="auto"/>
        <w:ind w:right="32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0D4">
        <w:rPr>
          <w:rFonts w:ascii="Times New Roman" w:hAnsi="Times New Roman" w:cs="Times New Roman"/>
          <w:color w:val="000000"/>
          <w:sz w:val="24"/>
          <w:szCs w:val="24"/>
        </w:rPr>
        <w:t xml:space="preserve">sposobnost za obavljanje profesionalne djelatnosti, </w:t>
      </w:r>
    </w:p>
    <w:p w:rsidR="000036CD" w:rsidRPr="002650D4" w:rsidRDefault="000036CD" w:rsidP="000E0F4F">
      <w:pPr>
        <w:numPr>
          <w:ilvl w:val="0"/>
          <w:numId w:val="12"/>
        </w:numPr>
        <w:spacing w:after="0" w:line="264" w:lineRule="auto"/>
        <w:ind w:right="326" w:hanging="21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2650D4">
        <w:rPr>
          <w:rFonts w:ascii="Times New Roman" w:hAnsi="Times New Roman" w:cs="Times New Roman"/>
          <w:color w:val="000000"/>
          <w:sz w:val="24"/>
          <w:szCs w:val="24"/>
        </w:rPr>
        <w:t>tehničku</w:t>
      </w:r>
      <w:proofErr w:type="gramEnd"/>
      <w:r w:rsidRPr="002650D4">
        <w:rPr>
          <w:rFonts w:ascii="Times New Roman" w:hAnsi="Times New Roman" w:cs="Times New Roman"/>
          <w:color w:val="000000"/>
          <w:sz w:val="24"/>
          <w:szCs w:val="24"/>
        </w:rPr>
        <w:t xml:space="preserve"> i stručnu </w:t>
      </w:r>
      <w:r w:rsidRPr="002650D4">
        <w:rPr>
          <w:rFonts w:ascii="Times New Roman" w:hAnsi="Times New Roman" w:cs="Times New Roman"/>
          <w:sz w:val="24"/>
          <w:szCs w:val="24"/>
        </w:rPr>
        <w:t>sposobnost (Izjava o izvršenim uslugama kao stručni nadzor.)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bookmarkStart w:id="5" w:name="_Hlk515013260"/>
      <w:bookmarkStart w:id="6" w:name="_Hlk515013272"/>
      <w:bookmarkEnd w:id="5"/>
      <w:bookmarkEnd w:id="6"/>
      <w:r w:rsidRPr="002650D4">
        <w:rPr>
          <w:rFonts w:ascii="Times New Roman" w:hAnsi="Times New Roman" w:cs="Times New Roman"/>
          <w:b/>
          <w:bCs/>
          <w:color w:val="00000A"/>
          <w:sz w:val="24"/>
          <w:szCs w:val="24"/>
        </w:rPr>
        <w:t>Uvjeti sposobnosti za obavljanje profesionalne djelatnosti</w:t>
      </w: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6.1. Upis u sudski, obrtni, strukovni </w:t>
      </w:r>
      <w:proofErr w:type="gramStart"/>
      <w:r w:rsidRPr="0026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ili</w:t>
      </w:r>
      <w:proofErr w:type="gramEnd"/>
      <w:r w:rsidRPr="0026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drugi odgovarajući registar u državi poslovnog nastana ponuditelja</w:t>
      </w: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Ponuditelj mora dokazati svoj upis u sudski, obrtni, strukovni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ili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drugi odgovarajući registar </w:t>
      </w: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države sjedišta ponuditelja kao dokaz da ima registriranu djelatnost u svezi s predmetom nabave. </w:t>
      </w: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Sposobnost za obavljanje profesionalne djelatnosti ponuditelj dokazuje izvatkom iz sudskog, obrtnog, strukovnog ili drugog odgovarajućeg registra koji se vodi u državi članici njegova poslovnog nastana, a ako se oni ne izdaju u državi sjedišta ponuditelja, ponuditelj može dostaviti izjavu s ovjerom potpisa kod nadležnog tijela</w:t>
      </w:r>
      <w:r w:rsidRPr="002650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0036CD" w:rsidRPr="002650D4" w:rsidRDefault="000036CD" w:rsidP="000036CD">
      <w:pPr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650D4">
        <w:rPr>
          <w:rFonts w:ascii="Times New Roman" w:hAnsi="Times New Roman" w:cs="Times New Roman"/>
          <w:b/>
          <w:bCs/>
          <w:color w:val="00000A"/>
          <w:sz w:val="24"/>
          <w:szCs w:val="24"/>
        </w:rPr>
        <w:t>Uvjeti tehničke i stručne sposobnosti</w:t>
      </w: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>6.2.</w:t>
      </w:r>
      <w:r w:rsidR="009E4F4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Popis tehničkih stručnjaka potrebnih za izvršenje ugovora</w:t>
      </w:r>
    </w:p>
    <w:p w:rsidR="000036CD" w:rsidRPr="002650D4" w:rsidRDefault="000036CD" w:rsidP="000036CD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Sukladno vrsti radova koje je potrebno nadzirati, ponuditelj mora raspolagati stručnjacima koji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sudjelovati u izvršenju usluge koja je predmet nabave, i to:</w:t>
      </w:r>
    </w:p>
    <w:p w:rsidR="000036CD" w:rsidRPr="002650D4" w:rsidRDefault="000036CD" w:rsidP="000036C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Stručnjak 1 – ovlašteni arhitekt ili ovlašteni inženjer građevinarstva – nadzorni inženjer građevinsko-obrtničkih radova;</w:t>
      </w:r>
    </w:p>
    <w:p w:rsidR="000036CD" w:rsidRPr="002650D4" w:rsidRDefault="000036CD" w:rsidP="000036C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Stručnjak 2 – ovlašteni inženjer elektrotehnike - nadzorni inženjer elektrotehničkih radova; </w:t>
      </w:r>
    </w:p>
    <w:p w:rsidR="000036CD" w:rsidRPr="002650D4" w:rsidRDefault="000036CD" w:rsidP="000036C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Stručnjak 3 – ovlašteni inženjer strojarstva - nadzorni inženjer strojarskih radova.  </w:t>
      </w:r>
    </w:p>
    <w:p w:rsidR="000036CD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Uslugu stručnog nadzora u svojstvu odgovorne osobe odgovarajuće struke moraju, tijekom trajanja ugovora, provoditi imenovani stručnjaci.</w:t>
      </w:r>
    </w:p>
    <w:p w:rsidR="009E4F4A" w:rsidRDefault="009E4F4A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021" w:rsidRPr="00EE3021" w:rsidRDefault="00EE3021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Kao dokaz ponuditelj dostavlja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 xml:space="preserve">Izjavu s popisom ovlaštenih osoba 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koje </w:t>
      </w:r>
      <w:proofErr w:type="gramStart"/>
      <w:r w:rsidRPr="002650D4">
        <w:rPr>
          <w:rFonts w:ascii="Times New Roman" w:eastAsia="Batang" w:hAnsi="Times New Roman" w:cs="Times New Roman"/>
          <w:sz w:val="24"/>
          <w:szCs w:val="24"/>
        </w:rPr>
        <w:t>će</w:t>
      </w:r>
      <w:proofErr w:type="gramEnd"/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izvršiti predmet nabave. Uvjet je da ponuditelj ima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zaposlenog minimalno jednog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2650D4">
        <w:rPr>
          <w:rFonts w:ascii="Times New Roman" w:eastAsia="Batang" w:hAnsi="Times New Roman" w:cs="Times New Roman"/>
          <w:sz w:val="24"/>
          <w:szCs w:val="24"/>
        </w:rPr>
        <w:t>od</w:t>
      </w:r>
      <w:proofErr w:type="gramEnd"/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predmetnih stručnjaka te za to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dostaviti dokaz.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Za ostale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predmetne </w:t>
      </w:r>
      <w:proofErr w:type="gramStart"/>
      <w:r w:rsidRPr="002650D4">
        <w:rPr>
          <w:rFonts w:ascii="Times New Roman" w:eastAsia="Batang" w:hAnsi="Times New Roman" w:cs="Times New Roman"/>
          <w:sz w:val="24"/>
          <w:szCs w:val="24"/>
        </w:rPr>
        <w:t>stručnjake  koji</w:t>
      </w:r>
      <w:proofErr w:type="gramEnd"/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će obavljati poslove projektantskog nadzora ponuditelj dokazuje njihov angažman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dokazom o zaposlenju ili ugovorom o poslovno-tehničkoj suradnji ili izjavom drugog gospodarskog subjekta o stavljanju resursa na raspolaganje u svrhu izvršenja premeta nabave.</w:t>
      </w:r>
    </w:p>
    <w:p w:rsidR="000036CD" w:rsidRPr="002650D4" w:rsidRDefault="000036CD" w:rsidP="000036CD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>Izjava s popisom ovlaštenih osoba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i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izjava drugog gospodarskog subjekta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o stavljanju resursa </w:t>
      </w:r>
      <w:proofErr w:type="gramStart"/>
      <w:r w:rsidRPr="002650D4">
        <w:rPr>
          <w:rFonts w:ascii="Times New Roman" w:eastAsia="Batang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raspolaganje u svrhu izvršenja predmeta nabave dostavljaju se u </w:t>
      </w:r>
      <w:r w:rsidRPr="002650D4">
        <w:rPr>
          <w:rFonts w:ascii="Times New Roman" w:eastAsia="Batang" w:hAnsi="Times New Roman" w:cs="Times New Roman"/>
          <w:b/>
          <w:sz w:val="24"/>
          <w:szCs w:val="24"/>
        </w:rPr>
        <w:t>slobodnoj formi</w:t>
      </w: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s potpisom odgovorne osobe ponuditelja, odnosno odgovorne osobe drugog gospodarskog subjekta. </w:t>
      </w:r>
    </w:p>
    <w:p w:rsidR="000036CD" w:rsidRPr="002650D4" w:rsidRDefault="000036CD" w:rsidP="000036CD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036CD" w:rsidRPr="002650D4" w:rsidRDefault="000036CD" w:rsidP="000036CD">
      <w:pPr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>Izjava o izvršenim uslugama</w:t>
      </w:r>
    </w:p>
    <w:p w:rsidR="000036CD" w:rsidRPr="002650D4" w:rsidRDefault="000036CD" w:rsidP="000036CD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650D4">
        <w:rPr>
          <w:rFonts w:ascii="Times New Roman" w:eastAsia="Batang" w:hAnsi="Times New Roman" w:cs="Times New Roman"/>
          <w:sz w:val="24"/>
          <w:szCs w:val="24"/>
        </w:rPr>
        <w:t xml:space="preserve">Dostavljenim dokazom ponuditelj treba dokazati da je uredno izvršio najmanje 2 (dva) ugovora, a najviše 5 (pet) ugovora o istim </w:t>
      </w:r>
      <w:proofErr w:type="gramStart"/>
      <w:r w:rsidRPr="002650D4">
        <w:rPr>
          <w:rFonts w:ascii="Times New Roman" w:eastAsia="Batang" w:hAnsi="Times New Roman" w:cs="Times New Roman"/>
          <w:sz w:val="24"/>
          <w:szCs w:val="24"/>
        </w:rPr>
        <w:t>ili</w:t>
      </w:r>
      <w:proofErr w:type="gramEnd"/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sličnim ovom predmetu nabave čiji zbroj je minimalno u iznosu procijenjene vrijednosti.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36CD" w:rsidRPr="002650D4" w:rsidRDefault="000036CD" w:rsidP="000036CD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>6.3 Rješenje o upisu u odgovarajuću strukovnu Komoru</w:t>
      </w:r>
    </w:p>
    <w:p w:rsidR="000036CD" w:rsidRPr="00EE3021" w:rsidRDefault="000036CD" w:rsidP="000036CD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 xml:space="preserve">Ponuditelj mora za sve predmetne stručnjake dostaviti važeće rješenje o upisu </w:t>
      </w:r>
      <w:proofErr w:type="gramStart"/>
      <w:r w:rsidRPr="002650D4">
        <w:rPr>
          <w:rFonts w:ascii="Times New Roman" w:eastAsia="Batang" w:hAnsi="Times New Roman" w:cs="Times New Roman"/>
          <w:b/>
          <w:sz w:val="24"/>
          <w:szCs w:val="24"/>
        </w:rPr>
        <w:t>u  odgovarajuću</w:t>
      </w:r>
      <w:proofErr w:type="gramEnd"/>
      <w:r w:rsidRPr="002650D4">
        <w:rPr>
          <w:rFonts w:ascii="Times New Roman" w:eastAsia="Batang" w:hAnsi="Times New Roman" w:cs="Times New Roman"/>
          <w:b/>
          <w:sz w:val="24"/>
          <w:szCs w:val="24"/>
        </w:rPr>
        <w:t xml:space="preserve"> strukovnu komoru, odnosno imenik ovlaštenih arhitekata, odnosno ovlaštenih inženjera.</w:t>
      </w:r>
    </w:p>
    <w:p w:rsidR="00EE3021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rješenjem imenovati glavnog nadzornog inženjera koji će biti odgovoran za cjelovitost i međusobnu usklađenost stručnog nadzora građenja.</w:t>
      </w:r>
    </w:p>
    <w:p w:rsidR="00EE3021" w:rsidRPr="00EE3021" w:rsidRDefault="00EE3021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Default="000036CD" w:rsidP="000036CD">
      <w:pPr>
        <w:contextualSpacing/>
        <w:jc w:val="both"/>
        <w:rPr>
          <w:rFonts w:ascii="Times New Roman" w:eastAsia="Batang" w:hAnsi="Times New Roman" w:cs="Times New Roman"/>
          <w:b/>
          <w:color w:val="365F91"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 xml:space="preserve">6.4. Oslanjanje </w:t>
      </w:r>
      <w:proofErr w:type="gramStart"/>
      <w:r w:rsidRPr="002650D4">
        <w:rPr>
          <w:rFonts w:ascii="Times New Roman" w:eastAsia="Batang" w:hAnsi="Times New Roman" w:cs="Times New Roman"/>
          <w:b/>
          <w:sz w:val="24"/>
          <w:szCs w:val="24"/>
        </w:rPr>
        <w:t>na</w:t>
      </w:r>
      <w:proofErr w:type="gramEnd"/>
      <w:r w:rsidRPr="002650D4">
        <w:rPr>
          <w:rFonts w:ascii="Times New Roman" w:eastAsia="Batang" w:hAnsi="Times New Roman" w:cs="Times New Roman"/>
          <w:b/>
          <w:sz w:val="24"/>
          <w:szCs w:val="24"/>
        </w:rPr>
        <w:t xml:space="preserve"> sposobnost drugih subjekata</w:t>
      </w:r>
    </w:p>
    <w:p w:rsidR="00EE3021" w:rsidRPr="00EE3021" w:rsidRDefault="00EE3021" w:rsidP="000036CD">
      <w:pPr>
        <w:contextualSpacing/>
        <w:jc w:val="both"/>
        <w:rPr>
          <w:rFonts w:ascii="Times New Roman" w:eastAsia="Batang" w:hAnsi="Times New Roman" w:cs="Times New Roman"/>
          <w:b/>
          <w:color w:val="365F91"/>
          <w:sz w:val="24"/>
          <w:szCs w:val="24"/>
        </w:rPr>
      </w:pP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Ponuditelj se može u postupku nabave radi dokazivanja ispunjavanja kriterija za odabir gospodarskog subjekta, osloniti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sposobnost drugih subjekata, bez obzira na pravnu prirodu njihova međusobnog odnosa. 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Gospodarski subjekt može se u postupku nabave osloniti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sposobnost drugih subjekata radi dokazivanja ispunjavanja kriterija koji su vezani uz uvjete za obavljanje profesionalne djelatnosti te tehničke i stručne sposobnosti, samo ako će ti subjekti pružati usluge za koje se ta sposobnost traži. </w:t>
      </w:r>
    </w:p>
    <w:p w:rsidR="000036CD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Ako se gospodarski subjekt oslanja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sposobnost drugih subjekata mora dokazati Naručitelju da će imati na raspolaganju potrebne resurse za izvršenje ugovora. U tom slučaju ponuditelj dostavlja i ugovor o poslovnoj suradnji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ili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izjavu drugog gospodarskog subjekta o stavljanju resursa na raspolaganje u svrhu izvršenja predmetnog ugovora. </w:t>
      </w:r>
    </w:p>
    <w:p w:rsidR="009E4F4A" w:rsidRPr="00EE3021" w:rsidRDefault="009E4F4A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650D4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Dokazi i dokumenti koji se traže točkom 5. Poziva </w:t>
      </w:r>
      <w:proofErr w:type="gramStart"/>
      <w:r w:rsidRPr="002650D4">
        <w:rPr>
          <w:rFonts w:ascii="Times New Roman" w:eastAsia="Batang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Batang" w:hAnsi="Times New Roman" w:cs="Times New Roman"/>
          <w:sz w:val="24"/>
          <w:szCs w:val="24"/>
        </w:rPr>
        <w:t xml:space="preserve"> dostavu ponude mogu se dostaviti u neovjerenoj preslici. Neovjerenom preslikom smatra se i neovjereni ispis elektroničke isprave.</w:t>
      </w:r>
    </w:p>
    <w:p w:rsidR="000036CD" w:rsidRPr="002650D4" w:rsidRDefault="000036CD" w:rsidP="000036CD">
      <w:pPr>
        <w:ind w:left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50D4">
        <w:rPr>
          <w:rFonts w:ascii="Times New Roman" w:eastAsia="Batang" w:hAnsi="Times New Roman" w:cs="Times New Roman"/>
          <w:b/>
          <w:sz w:val="24"/>
          <w:szCs w:val="24"/>
        </w:rPr>
        <w:t>KRITERIJ ZA ODABIR PONUDE:</w:t>
      </w:r>
    </w:p>
    <w:p w:rsidR="000036CD" w:rsidRPr="002650D4" w:rsidRDefault="000036CD" w:rsidP="000036CD">
      <w:pPr>
        <w:tabs>
          <w:tab w:val="left" w:pos="293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tabs>
          <w:tab w:val="left" w:pos="293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Kriterij odabira ponude je ekonomski najpovoljnija cijena.</w:t>
      </w:r>
    </w:p>
    <w:p w:rsidR="000036CD" w:rsidRPr="002650D4" w:rsidRDefault="000036CD" w:rsidP="000036CD">
      <w:pPr>
        <w:suppressAutoHyphens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2650D4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Kriteriji su nediskriminirajući, povezani su s predmetom nabave, </w:t>
      </w:r>
      <w:proofErr w:type="gramStart"/>
      <w:r w:rsidRPr="002650D4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a</w:t>
      </w:r>
      <w:proofErr w:type="gramEnd"/>
      <w:r w:rsidRPr="002650D4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isti su:</w:t>
      </w:r>
    </w:p>
    <w:p w:rsidR="000036CD" w:rsidRPr="002650D4" w:rsidRDefault="000036CD" w:rsidP="000036CD">
      <w:pPr>
        <w:suppressAutoHyphens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tbl>
      <w:tblPr>
        <w:tblW w:w="9176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1722"/>
        <w:gridCol w:w="3378"/>
      </w:tblGrid>
      <w:tr w:rsidR="000036CD" w:rsidRPr="002650D4" w:rsidTr="00C127A9">
        <w:trPr>
          <w:trHeight w:val="23"/>
        </w:trPr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Kriterij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Maksimalan broj bodova</w:t>
            </w:r>
          </w:p>
        </w:tc>
        <w:tc>
          <w:tcPr>
            <w:tcW w:w="3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Način izračuna</w:t>
            </w:r>
          </w:p>
        </w:tc>
      </w:tr>
      <w:tr w:rsidR="000036CD" w:rsidRPr="002650D4" w:rsidTr="00C127A9">
        <w:trPr>
          <w:trHeight w:val="23"/>
        </w:trPr>
        <w:tc>
          <w:tcPr>
            <w:tcW w:w="91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36CD" w:rsidRPr="002650D4" w:rsidRDefault="000036CD" w:rsidP="00C127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Financijska ponuda</w:t>
            </w:r>
          </w:p>
        </w:tc>
      </w:tr>
      <w:tr w:rsidR="000036CD" w:rsidRPr="002650D4" w:rsidTr="00C127A9">
        <w:trPr>
          <w:trHeight w:val="23"/>
        </w:trPr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Cijena ponude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36CD" w:rsidRPr="002650D4" w:rsidRDefault="000036CD" w:rsidP="00C127A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ponuda s najnižom cijenom dobiva 40 bodova, dok će svaka sljedeća skuplja ponuda biti sukcesivno umanjivana za 3 boda</w:t>
            </w:r>
          </w:p>
        </w:tc>
      </w:tr>
      <w:tr w:rsidR="000036CD" w:rsidRPr="002650D4" w:rsidTr="00C127A9">
        <w:trPr>
          <w:trHeight w:val="23"/>
        </w:trPr>
        <w:tc>
          <w:tcPr>
            <w:tcW w:w="91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Tehnička ponuda</w:t>
            </w:r>
          </w:p>
        </w:tc>
      </w:tr>
      <w:tr w:rsidR="000036CD" w:rsidRPr="002650D4" w:rsidTr="00C127A9">
        <w:trPr>
          <w:trHeight w:val="23"/>
        </w:trPr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ind w:left="90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Stručni nadzor ima položene module za energetskog certifikatora 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36CD" w:rsidRPr="002650D4" w:rsidRDefault="000036CD" w:rsidP="000036CD">
            <w:pPr>
              <w:numPr>
                <w:ilvl w:val="0"/>
                <w:numId w:val="15"/>
              </w:numPr>
              <w:tabs>
                <w:tab w:val="left" w:pos="757"/>
              </w:tabs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nema položene modul 1 i 2: 0 bodova</w:t>
            </w:r>
          </w:p>
          <w:p w:rsidR="000036CD" w:rsidRPr="002650D4" w:rsidRDefault="000036CD" w:rsidP="000036CD">
            <w:pPr>
              <w:numPr>
                <w:ilvl w:val="0"/>
                <w:numId w:val="15"/>
              </w:numPr>
              <w:tabs>
                <w:tab w:val="left" w:pos="757"/>
              </w:tabs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položen modul 1: 15 bodova</w:t>
            </w:r>
          </w:p>
          <w:p w:rsidR="000036CD" w:rsidRPr="002650D4" w:rsidRDefault="000036CD" w:rsidP="000036CD">
            <w:pPr>
              <w:numPr>
                <w:ilvl w:val="0"/>
                <w:numId w:val="15"/>
              </w:numPr>
              <w:tabs>
                <w:tab w:val="left" w:pos="757"/>
              </w:tabs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položen modul 1 i 2: 30 bodova</w:t>
            </w:r>
          </w:p>
        </w:tc>
      </w:tr>
      <w:tr w:rsidR="000036CD" w:rsidRPr="002650D4" w:rsidTr="00C127A9">
        <w:trPr>
          <w:trHeight w:val="23"/>
        </w:trPr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Broj provedenih stručnih nadzora na energetskim obnovama javnih zgrada sufinanciranih nacionalnim i EU sredstvima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36CD" w:rsidRPr="002650D4" w:rsidRDefault="000036CD" w:rsidP="00C127A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36CD" w:rsidRPr="002650D4" w:rsidRDefault="000036CD" w:rsidP="000036CD">
            <w:pPr>
              <w:numPr>
                <w:ilvl w:val="0"/>
                <w:numId w:val="15"/>
              </w:numPr>
              <w:tabs>
                <w:tab w:val="left" w:pos="757"/>
              </w:tabs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0-2 provedena stručna nadzora: 10 bodova</w:t>
            </w:r>
          </w:p>
          <w:p w:rsidR="000036CD" w:rsidRPr="002650D4" w:rsidRDefault="000036CD" w:rsidP="000036CD">
            <w:pPr>
              <w:numPr>
                <w:ilvl w:val="0"/>
                <w:numId w:val="15"/>
              </w:numPr>
              <w:tabs>
                <w:tab w:val="left" w:pos="757"/>
              </w:tabs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3-4 provedena stručna nadzora: 20 bodova</w:t>
            </w:r>
          </w:p>
          <w:p w:rsidR="000036CD" w:rsidRPr="002650D4" w:rsidRDefault="000036CD" w:rsidP="006D2BF9">
            <w:pPr>
              <w:numPr>
                <w:ilvl w:val="0"/>
                <w:numId w:val="15"/>
              </w:numPr>
              <w:tabs>
                <w:tab w:val="left" w:pos="757"/>
              </w:tabs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5 i više provedenih stručnih nadzora: 30 bodo</w:t>
            </w:r>
            <w:r w:rsidR="006D2BF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v</w:t>
            </w:r>
            <w:r w:rsidRPr="002650D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a</w:t>
            </w:r>
          </w:p>
        </w:tc>
      </w:tr>
    </w:tbl>
    <w:p w:rsidR="009E4F4A" w:rsidRDefault="009E4F4A" w:rsidP="000036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E4F4A" w:rsidRDefault="009E4F4A" w:rsidP="000036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E4F4A" w:rsidRDefault="009E4F4A" w:rsidP="000036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E4F4A" w:rsidRPr="002650D4" w:rsidRDefault="000036CD" w:rsidP="000036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650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Ukupan rezultat svake pojedine ponude biti </w:t>
      </w:r>
      <w:proofErr w:type="gramStart"/>
      <w:r w:rsidRPr="002650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će</w:t>
      </w:r>
      <w:proofErr w:type="gramEnd"/>
      <w:r w:rsidRPr="002650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zbroj bodova financijske i tehničke ponude te će se ekonomski najpovoljnijom ponudom smatrati ona ponuda kod koje je dobiven najveći broj bodova. Maksimalan broj bodova je 100.</w:t>
      </w:r>
    </w:p>
    <w:p w:rsidR="000036CD" w:rsidRDefault="000036CD" w:rsidP="009E4F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650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Prijavitelj je dužan popuniti tablicu s nazivom projekta i programom kroz koji je isti sufinanciran. U obzir se uzimaju samo projekti cjelovite energetske obnove. </w:t>
      </w:r>
      <w:r w:rsidRPr="002650D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(U prilogu)</w:t>
      </w:r>
    </w:p>
    <w:p w:rsidR="009E4F4A" w:rsidRPr="009E4F4A" w:rsidRDefault="009E4F4A" w:rsidP="009E4F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036CD" w:rsidRPr="002650D4" w:rsidRDefault="000036CD" w:rsidP="000036C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MJESTO I ROK IZVRŠENJA USLUGE: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Mjesto izvršenja predmeta nabave je </w:t>
      </w:r>
      <w:r w:rsidR="00EE3021">
        <w:rPr>
          <w:rFonts w:ascii="Times New Roman" w:eastAsia="Calibri" w:hAnsi="Times New Roman" w:cs="Times New Roman"/>
          <w:sz w:val="24"/>
          <w:szCs w:val="24"/>
        </w:rPr>
        <w:t>Mješovita industrijsko-obrtnička škola, Karlovac.</w:t>
      </w:r>
    </w:p>
    <w:p w:rsidR="000036CD" w:rsidRPr="006124AC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Razdoblje trajanja ugovora: sukladno dinamici izvođenja radova. Rok počinje teći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dana uvođenja Odabranog izvođača radova u posao i traje do uspješne primopredaje radova. </w:t>
      </w:r>
      <w:bookmarkStart w:id="7" w:name="_Hlk11755339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Planirano trajanje radova je u periodu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B15" w:rsidRPr="006124AC">
        <w:rPr>
          <w:rFonts w:ascii="Times New Roman" w:eastAsia="Calibri" w:hAnsi="Times New Roman" w:cs="Times New Roman"/>
          <w:sz w:val="24"/>
          <w:szCs w:val="24"/>
        </w:rPr>
        <w:t>rujna</w:t>
      </w:r>
      <w:r w:rsidRPr="006124AC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proofErr w:type="gramStart"/>
      <w:r w:rsidRPr="006124AC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612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B15" w:rsidRPr="006124AC">
        <w:rPr>
          <w:rFonts w:ascii="Times New Roman" w:eastAsia="Calibri" w:hAnsi="Times New Roman" w:cs="Times New Roman"/>
          <w:sz w:val="24"/>
          <w:szCs w:val="24"/>
        </w:rPr>
        <w:t>svibnja</w:t>
      </w:r>
      <w:r w:rsidRPr="006124AC">
        <w:rPr>
          <w:rFonts w:ascii="Times New Roman" w:eastAsia="Calibri" w:hAnsi="Times New Roman" w:cs="Times New Roman"/>
          <w:sz w:val="24"/>
          <w:szCs w:val="24"/>
        </w:rPr>
        <w:t xml:space="preserve"> 2020.</w:t>
      </w:r>
      <w:bookmarkEnd w:id="7"/>
      <w:r w:rsidR="00211B15" w:rsidRPr="00612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11B15" w:rsidRPr="006124AC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211B15" w:rsidRPr="00612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9E4F4A" w:rsidP="000036CD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036CD" w:rsidRPr="0026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OBLIK,</w:t>
      </w:r>
      <w:r w:rsidR="00EE30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NAČIN ,SADRŽAJ</w:t>
      </w:r>
      <w:proofErr w:type="gramEnd"/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I MJESTO DOSTAVE PONUDE:</w:t>
      </w:r>
    </w:p>
    <w:p w:rsidR="000036CD" w:rsidRPr="002650D4" w:rsidRDefault="000036CD" w:rsidP="00EE3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Ponuda se izrađuje u pisanom obliku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te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se dostavljaju:</w:t>
      </w:r>
    </w:p>
    <w:p w:rsidR="000036CD" w:rsidRPr="002650D4" w:rsidRDefault="00EE3021" w:rsidP="00EE3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u</w:t>
      </w:r>
      <w:proofErr w:type="gramEnd"/>
      <w:r w:rsidR="000036CD" w:rsidRPr="002650D4">
        <w:rPr>
          <w:rFonts w:ascii="Times New Roman" w:eastAsia="Calibri" w:hAnsi="Times New Roman" w:cs="Times New Roman"/>
          <w:sz w:val="24"/>
          <w:szCs w:val="24"/>
        </w:rPr>
        <w:t xml:space="preserve"> originalu na adresu naručitelja putem pošte ili osobno:</w:t>
      </w:r>
    </w:p>
    <w:p w:rsidR="000036CD" w:rsidRPr="002650D4" w:rsidRDefault="00EE3021" w:rsidP="00EE3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Mješovita industrijsko-obrtnička škola, 47000 Karlovac, Domobranska 2.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Ponuda mora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sadržavati </w:t>
      </w:r>
      <w:r w:rsidR="009E4F4A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0036CD" w:rsidRPr="002650D4" w:rsidRDefault="000036CD" w:rsidP="000036CD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Popunjeni Ponudbeni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list  (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>Obrazac 1.)</w:t>
      </w:r>
    </w:p>
    <w:p w:rsidR="000036CD" w:rsidRPr="002650D4" w:rsidRDefault="000036CD" w:rsidP="000036CD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Popunjeni Troškovnik (Obrazac 2.)</w:t>
      </w:r>
    </w:p>
    <w:p w:rsidR="000036CD" w:rsidRPr="002650D4" w:rsidRDefault="000036CD" w:rsidP="000036CD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Popunjena tablica (obrazac 3</w:t>
      </w:r>
      <w:r w:rsidR="009E4F4A">
        <w:rPr>
          <w:rFonts w:ascii="Times New Roman" w:eastAsia="Calibri" w:hAnsi="Times New Roman" w:cs="Times New Roman"/>
          <w:sz w:val="24"/>
          <w:szCs w:val="24"/>
        </w:rPr>
        <w:t>.</w:t>
      </w:r>
      <w:r w:rsidRPr="002650D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36CD" w:rsidRPr="002650D4" w:rsidRDefault="000036CD" w:rsidP="000036CD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Dokumente sukladno točki 5. ovog Poziva na dostavu ponuda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Ponuda mora biti dostavljena u izvorniku, u papirnatom obliku, pisana neizbrisivom tintom. 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9E4F4A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036CD" w:rsidRPr="0026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DATUM</w:t>
      </w:r>
      <w:proofErr w:type="gramStart"/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>,VRIJEME</w:t>
      </w:r>
      <w:proofErr w:type="gramEnd"/>
      <w:r w:rsidR="000036CD"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I MJESTO DOSTAVE PONUDE: 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i vrijeme dostave ponude: </w:t>
      </w:r>
      <w:r w:rsidR="00211B15"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EE3021"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211B15"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2019. </w:t>
      </w:r>
      <w:proofErr w:type="gramStart"/>
      <w:r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>godine</w:t>
      </w:r>
      <w:proofErr w:type="gramEnd"/>
      <w:r w:rsidRPr="007A5E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12,00 sati.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Mjesto dostave ponuda: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021">
        <w:rPr>
          <w:rFonts w:ascii="Times New Roman" w:eastAsia="Calibri" w:hAnsi="Times New Roman" w:cs="Times New Roman"/>
          <w:sz w:val="24"/>
          <w:szCs w:val="24"/>
        </w:rPr>
        <w:t>Mješovita industrijsko-obrtnička škola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3021">
        <w:rPr>
          <w:rFonts w:ascii="Times New Roman" w:eastAsia="Calibri" w:hAnsi="Times New Roman" w:cs="Times New Roman"/>
          <w:sz w:val="24"/>
          <w:szCs w:val="24"/>
        </w:rPr>
        <w:t>Domobranska 2, 47000 Karlovac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E4F4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>. ROK,</w:t>
      </w:r>
      <w:r w:rsidR="00EE30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>NAČIN I UVJETI PLAĆANJA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Način plaćanja biti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definiran ugovorom između naručitelja i ponuditelja.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Plaćanje se obavlja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IBAN odabranog ponuditelja, u roku od najkasnije 30 dana od dana dostave računa.</w:t>
      </w:r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0036CD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F4A" w:rsidRPr="002650D4" w:rsidRDefault="009E4F4A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9E4F4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>. JEZIK NA KOJEM SE SASTAVLJA PONUDA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Ponuda se podnosi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hrvatskom jeziku i latiničnom pismu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2650D4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EE3021">
        <w:rPr>
          <w:rFonts w:ascii="Times New Roman" w:eastAsia="Calibri" w:hAnsi="Times New Roman" w:cs="Times New Roman"/>
          <w:b/>
          <w:sz w:val="24"/>
          <w:szCs w:val="24"/>
        </w:rPr>
        <w:t xml:space="preserve">ICA 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ŠKOLE</w:t>
      </w:r>
      <w:proofErr w:type="gramEnd"/>
      <w:r w:rsidRPr="002650D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E3021" w:rsidRDefault="000036CD" w:rsidP="000036CD">
      <w:pPr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036CD" w:rsidRPr="002650D4" w:rsidRDefault="000036CD" w:rsidP="000036CD">
      <w:pPr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E3021">
        <w:rPr>
          <w:rFonts w:ascii="Times New Roman" w:eastAsia="Calibri" w:hAnsi="Times New Roman" w:cs="Times New Roman"/>
          <w:b/>
          <w:sz w:val="24"/>
          <w:szCs w:val="24"/>
        </w:rPr>
        <w:t>Snježana Erdeljac, dipl. ing.</w:t>
      </w:r>
    </w:p>
    <w:p w:rsidR="000036CD" w:rsidRDefault="000036CD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F4A" w:rsidRPr="002650D4" w:rsidRDefault="009E4F4A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Obrazac 1</w:t>
      </w:r>
    </w:p>
    <w:p w:rsidR="000036CD" w:rsidRPr="00D20C11" w:rsidRDefault="000036CD" w:rsidP="000036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0C11">
        <w:rPr>
          <w:rFonts w:ascii="Times New Roman" w:eastAsia="Calibri" w:hAnsi="Times New Roman" w:cs="Times New Roman"/>
          <w:b/>
          <w:sz w:val="24"/>
          <w:szCs w:val="24"/>
        </w:rPr>
        <w:t>PONUDBENI LIST</w:t>
      </w:r>
    </w:p>
    <w:p w:rsidR="000036CD" w:rsidRPr="002650D4" w:rsidRDefault="000036CD" w:rsidP="000036C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8"/>
        </w:num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NARUČITELJ: </w:t>
      </w:r>
      <w:r w:rsidR="004A79EE"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MJEŠOVITA INDUSTRIJSKO--OBRTNIČKA ŠKOLA</w:t>
      </w:r>
      <w:r w:rsidR="004A79EE">
        <w:rPr>
          <w:rFonts w:ascii="Times New Roman" w:eastAsia="Calibri" w:hAnsi="Times New Roman" w:cs="Times New Roman"/>
          <w:color w:val="000000"/>
          <w:sz w:val="24"/>
          <w:szCs w:val="24"/>
        </w:rPr>
        <w:t>, KARLOVAC</w:t>
      </w:r>
    </w:p>
    <w:p w:rsidR="000036CD" w:rsidRPr="002650D4" w:rsidRDefault="000036CD" w:rsidP="000036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070C4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OIB: </w:t>
      </w:r>
      <w:r w:rsidR="004A79EE"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68371339805</w:t>
      </w:r>
    </w:p>
    <w:p w:rsidR="000036CD" w:rsidRPr="002650D4" w:rsidRDefault="000036CD" w:rsidP="000036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ab/>
      </w:r>
      <w:r w:rsidRPr="002650D4">
        <w:rPr>
          <w:rFonts w:ascii="Times New Roman" w:eastAsia="Calibri" w:hAnsi="Times New Roman" w:cs="Times New Roman"/>
          <w:sz w:val="24"/>
          <w:szCs w:val="24"/>
        </w:rPr>
        <w:tab/>
      </w:r>
      <w:r w:rsidR="00070C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50D4">
        <w:rPr>
          <w:rFonts w:ascii="Times New Roman" w:eastAsia="Calibri" w:hAnsi="Times New Roman" w:cs="Times New Roman"/>
          <w:sz w:val="24"/>
          <w:szCs w:val="24"/>
        </w:rPr>
        <w:t>Telefonski broj:</w:t>
      </w:r>
      <w:r w:rsidR="004A79EE" w:rsidRPr="004A7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79EE" w:rsidRPr="002650D4">
        <w:rPr>
          <w:rFonts w:ascii="Times New Roman" w:eastAsia="Calibri" w:hAnsi="Times New Roman" w:cs="Times New Roman"/>
          <w:color w:val="000000"/>
          <w:sz w:val="24"/>
          <w:szCs w:val="24"/>
        </w:rPr>
        <w:t>047615578</w:t>
      </w:r>
    </w:p>
    <w:p w:rsidR="000036CD" w:rsidRPr="002650D4" w:rsidRDefault="000036CD" w:rsidP="000036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070C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Adresa elektroničke pošte: </w:t>
      </w:r>
      <w:hyperlink r:id="rId12" w:history="1">
        <w:r w:rsidR="004A79EE" w:rsidRPr="002650D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ured@ss-mios-ka.skole.hr</w:t>
        </w:r>
      </w:hyperlink>
    </w:p>
    <w:p w:rsidR="004A79EE" w:rsidRPr="002650D4" w:rsidRDefault="000036CD" w:rsidP="004A79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070C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13" w:history="1">
        <w:r w:rsidR="004A79EE" w:rsidRPr="002650D4">
          <w:rPr>
            <w:rStyle w:val="Hyperlink"/>
            <w:rFonts w:ascii="Times New Roman" w:hAnsi="Times New Roman" w:cs="Times New Roman"/>
            <w:sz w:val="24"/>
            <w:szCs w:val="24"/>
          </w:rPr>
          <w:t>http://www.ss-mios-ka.skole.hr</w:t>
        </w:r>
      </w:hyperlink>
    </w:p>
    <w:p w:rsidR="000036CD" w:rsidRPr="002650D4" w:rsidRDefault="000036CD" w:rsidP="000036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Default="000036CD" w:rsidP="009E4F4A">
      <w:pPr>
        <w:numPr>
          <w:ilvl w:val="0"/>
          <w:numId w:val="8"/>
        </w:num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OSNOVNI PODACI O PONUDITELJU</w:t>
      </w:r>
    </w:p>
    <w:p w:rsidR="009E4F4A" w:rsidRPr="009E4F4A" w:rsidRDefault="009E4F4A" w:rsidP="009E4F4A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Naziv tvrtke______________________________________________________________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Sjedište (mjesto i adresa) ___________________________________________________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Matični broj tvrtke ________________________________________________________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OIB ____________________________________________________________________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Osoba odgovorna za potpisivanje ugovora o jednostavnoj nabavi______________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Osoba ovlaštena za kontakt s Naručiteljem 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Broj telefona i mobitela ____________________________________________________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Broj faksa _______________________________________________________________</w:t>
      </w:r>
    </w:p>
    <w:p w:rsidR="009E4F4A" w:rsidRPr="002650D4" w:rsidRDefault="009E4F4A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Adresa e-pošte ____________________________________________________________</w:t>
      </w:r>
    </w:p>
    <w:p w:rsidR="000036CD" w:rsidRPr="002650D4" w:rsidRDefault="000036CD" w:rsidP="000036CD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8"/>
        </w:numPr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PREDMET NABAVE</w:t>
      </w:r>
    </w:p>
    <w:p w:rsidR="00070C45" w:rsidRDefault="000036CD" w:rsidP="00070C45">
      <w:pPr>
        <w:pStyle w:val="NoSpacing"/>
        <w:spacing w:line="276" w:lineRule="auto"/>
        <w:ind w:left="994" w:hanging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Postupak jednostavne nabave za: USLUGU STRUČNOG NADZORA za provedbu projekta </w:t>
      </w:r>
    </w:p>
    <w:p w:rsidR="00070C45" w:rsidRDefault="000036CD" w:rsidP="00070C45">
      <w:pPr>
        <w:pStyle w:val="NoSpacing"/>
        <w:spacing w:line="276" w:lineRule="auto"/>
        <w:ind w:left="994" w:hanging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Energetske obnove zgrade </w:t>
      </w:r>
      <w:r w:rsidR="004A79EE" w:rsidRPr="002650D4">
        <w:rPr>
          <w:rFonts w:ascii="Times New Roman" w:eastAsia="Calibri" w:hAnsi="Times New Roman" w:cs="Times New Roman"/>
          <w:sz w:val="24"/>
          <w:szCs w:val="24"/>
        </w:rPr>
        <w:t xml:space="preserve">Mješovite industrijsko-obrtničke škole </w:t>
      </w:r>
      <w:proofErr w:type="gramStart"/>
      <w:r w:rsidR="004A79EE" w:rsidRPr="002650D4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4A79EE" w:rsidRPr="002650D4">
        <w:rPr>
          <w:rFonts w:ascii="Times New Roman" w:eastAsia="Calibri" w:hAnsi="Times New Roman" w:cs="Times New Roman"/>
          <w:sz w:val="24"/>
          <w:szCs w:val="24"/>
        </w:rPr>
        <w:t xml:space="preserve"> adresi Struga 33, </w:t>
      </w:r>
    </w:p>
    <w:p w:rsidR="000036CD" w:rsidRDefault="004A79EE" w:rsidP="00070C45">
      <w:pPr>
        <w:pStyle w:val="NoSpacing"/>
        <w:spacing w:line="276" w:lineRule="auto"/>
        <w:ind w:left="994" w:hanging="7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47000 Karlovac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650D4">
        <w:rPr>
          <w:rFonts w:ascii="Times New Roman" w:hAnsi="Times New Roman" w:cs="Times New Roman"/>
          <w:sz w:val="24"/>
          <w:szCs w:val="24"/>
          <w:lang w:val="hr-HR"/>
        </w:rPr>
        <w:t>KK.04.2.1.04.0683</w:t>
      </w:r>
      <w:proofErr w:type="gramEnd"/>
    </w:p>
    <w:p w:rsidR="009E4F4A" w:rsidRDefault="009E4F4A" w:rsidP="00070C45">
      <w:pPr>
        <w:pStyle w:val="NoSpacing"/>
        <w:spacing w:line="276" w:lineRule="auto"/>
        <w:ind w:left="994" w:hanging="7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4F4A" w:rsidRDefault="009E4F4A" w:rsidP="00070C45">
      <w:pPr>
        <w:pStyle w:val="NoSpacing"/>
        <w:spacing w:line="276" w:lineRule="auto"/>
        <w:ind w:left="994" w:hanging="7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D2BF9" w:rsidRDefault="006D2BF9" w:rsidP="00070C45">
      <w:pPr>
        <w:pStyle w:val="NoSpacing"/>
        <w:spacing w:line="276" w:lineRule="auto"/>
        <w:ind w:left="994" w:hanging="7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4F4A" w:rsidRDefault="009E4F4A" w:rsidP="00070C45">
      <w:pPr>
        <w:pStyle w:val="NoSpacing"/>
        <w:spacing w:line="276" w:lineRule="auto"/>
        <w:ind w:left="994" w:hanging="7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79EE" w:rsidRPr="004A79EE" w:rsidRDefault="004A79EE" w:rsidP="004A79EE">
      <w:pPr>
        <w:pStyle w:val="NoSpacing"/>
        <w:spacing w:line="276" w:lineRule="auto"/>
        <w:ind w:left="1418" w:hanging="7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036CD" w:rsidRPr="002650D4" w:rsidRDefault="000036CD" w:rsidP="000036CD">
      <w:pPr>
        <w:numPr>
          <w:ilvl w:val="0"/>
          <w:numId w:val="8"/>
        </w:numPr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PONUDA</w:t>
      </w:r>
    </w:p>
    <w:p w:rsidR="000036CD" w:rsidRPr="002650D4" w:rsidRDefault="000036CD" w:rsidP="000036C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Proučili smo Poziv za dostavu ponude, te sve dokumente i podatke koje nam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je  Naručitelj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stavio na raspolaganje, detaljno smo se upoznali sa svim uvjetima, odnosno odredbama Poziva za dostavu ponude, koje prihvaćamo te nudimo sljedeću cijenu za predmet nabave (cijena se upisuje brojevima i slovima)</w:t>
      </w:r>
    </w:p>
    <w:p w:rsidR="000036CD" w:rsidRPr="002650D4" w:rsidRDefault="000036CD" w:rsidP="000036C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Cijena ponude bez PDV-a: _______________________________________ kn</w:t>
      </w:r>
    </w:p>
    <w:p w:rsidR="000036CD" w:rsidRPr="002650D4" w:rsidRDefault="000036CD" w:rsidP="009E4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25% poreza na dodanu vrijednost: __________________________________ kn</w:t>
      </w:r>
    </w:p>
    <w:p w:rsidR="000036CD" w:rsidRPr="002650D4" w:rsidRDefault="000036CD" w:rsidP="009E4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Cijena ponude sa PDV-om_______________________________ kn</w:t>
      </w:r>
    </w:p>
    <w:p w:rsidR="000036CD" w:rsidRPr="002650D4" w:rsidRDefault="000036CD" w:rsidP="009E4F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numPr>
          <w:ilvl w:val="0"/>
          <w:numId w:val="8"/>
        </w:num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ROK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Rok valjanosti ponude: _________________________________.</w:t>
      </w:r>
    </w:p>
    <w:p w:rsidR="000036CD" w:rsidRPr="002650D4" w:rsidRDefault="000036CD" w:rsidP="009E4F4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(</w:t>
      </w:r>
      <w:proofErr w:type="gramStart"/>
      <w:r w:rsidRPr="002650D4">
        <w:rPr>
          <w:rFonts w:ascii="Times New Roman" w:eastAsia="Calibri" w:hAnsi="Times New Roman" w:cs="Times New Roman"/>
          <w:b/>
          <w:sz w:val="24"/>
          <w:szCs w:val="24"/>
        </w:rPr>
        <w:t>datum</w:t>
      </w:r>
      <w:proofErr w:type="gramEnd"/>
      <w:r w:rsidRPr="002650D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036CD" w:rsidRPr="002650D4" w:rsidRDefault="000036CD" w:rsidP="000036CD">
      <w:pPr>
        <w:numPr>
          <w:ilvl w:val="0"/>
          <w:numId w:val="8"/>
        </w:numPr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 NAČIN PLAĆANJA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Plaćanje </w:t>
      </w: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se vršiti na žiro-račun ponuditelja broj: _________________________ koji se  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0D4">
        <w:rPr>
          <w:rFonts w:ascii="Times New Roman" w:eastAsia="Calibri" w:hAnsi="Times New Roman" w:cs="Times New Roman"/>
          <w:sz w:val="24"/>
          <w:szCs w:val="24"/>
        </w:rPr>
        <w:t>vodi</w:t>
      </w:r>
      <w:proofErr w:type="gramEnd"/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kod poslovne banke _____________________sa sjedištem u ___________________ </w:t>
      </w:r>
    </w:p>
    <w:p w:rsidR="000036CD" w:rsidRPr="002650D4" w:rsidRDefault="000036CD" w:rsidP="009E4F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9E4F4A">
      <w:pPr>
        <w:numPr>
          <w:ilvl w:val="0"/>
          <w:numId w:val="8"/>
        </w:num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 xml:space="preserve">KONTAKT OSOBA ZA POJAŠNJENJE PONUDE: </w:t>
      </w:r>
    </w:p>
    <w:p w:rsidR="000036CD" w:rsidRPr="002650D4" w:rsidRDefault="000036CD" w:rsidP="000036CD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0036CD" w:rsidRPr="002650D4" w:rsidRDefault="000036CD" w:rsidP="00003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numPr>
          <w:ilvl w:val="0"/>
          <w:numId w:val="8"/>
        </w:num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b/>
          <w:sz w:val="24"/>
          <w:szCs w:val="24"/>
        </w:rPr>
        <w:t>POPIS DOKUMENTACIJE PRILOŽENE PONUDI:</w:t>
      </w:r>
      <w:r w:rsidRPr="002650D4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036CD" w:rsidRPr="002650D4" w:rsidRDefault="000036CD" w:rsidP="000036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C11" w:rsidRPr="00070C45" w:rsidRDefault="000036CD" w:rsidP="00070C4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20C11" w:rsidRPr="00817ED5" w:rsidRDefault="00D20C11" w:rsidP="00D20C11">
      <w:pPr>
        <w:jc w:val="both"/>
        <w:rPr>
          <w:rFonts w:ascii="Cambria" w:eastAsia="Calibri" w:hAnsi="Cambria"/>
        </w:rPr>
      </w:pPr>
    </w:p>
    <w:p w:rsidR="00D20C11" w:rsidRPr="00817ED5" w:rsidRDefault="00D20C11" w:rsidP="00D20C11">
      <w:pPr>
        <w:numPr>
          <w:ilvl w:val="0"/>
          <w:numId w:val="8"/>
        </w:numPr>
        <w:ind w:left="644"/>
        <w:contextualSpacing/>
        <w:jc w:val="both"/>
        <w:rPr>
          <w:rFonts w:ascii="Cambria" w:eastAsia="Calibri" w:hAnsi="Cambria"/>
        </w:rPr>
      </w:pPr>
      <w:r w:rsidRPr="00817ED5">
        <w:rPr>
          <w:rFonts w:ascii="Cambria" w:eastAsia="Calibri" w:hAnsi="Cambria"/>
          <w:b/>
        </w:rPr>
        <w:t>IME, PREZIME I POTPIS OSOBE OVLAŠTENE ZA ZASTUPANJE PONUDITELJA</w:t>
      </w:r>
      <w:r w:rsidRPr="00817ED5">
        <w:rPr>
          <w:rFonts w:ascii="Cambria" w:eastAsia="Calibri" w:hAnsi="Cambria"/>
        </w:rPr>
        <w:t xml:space="preserve">: </w:t>
      </w:r>
    </w:p>
    <w:p w:rsidR="00D20C11" w:rsidRPr="00817ED5" w:rsidRDefault="00D20C11" w:rsidP="00D20C11">
      <w:pPr>
        <w:ind w:left="720"/>
        <w:contextualSpacing/>
        <w:jc w:val="both"/>
        <w:rPr>
          <w:rFonts w:ascii="Cambria" w:eastAsia="Calibri" w:hAnsi="Cambria"/>
        </w:rPr>
      </w:pPr>
      <w:r w:rsidRPr="00817ED5">
        <w:rPr>
          <w:rFonts w:ascii="Cambria" w:eastAsia="Calibri" w:hAnsi="Cambria"/>
        </w:rPr>
        <w:t>__________________________________________________________________</w:t>
      </w:r>
    </w:p>
    <w:p w:rsidR="00D20C11" w:rsidRPr="00817ED5" w:rsidRDefault="00D20C11" w:rsidP="00D20C11">
      <w:pPr>
        <w:ind w:left="720"/>
        <w:contextualSpacing/>
        <w:jc w:val="both"/>
        <w:rPr>
          <w:rFonts w:ascii="Cambria" w:eastAsia="Calibri" w:hAnsi="Cambria"/>
        </w:rPr>
      </w:pPr>
    </w:p>
    <w:p w:rsidR="00D20C11" w:rsidRPr="00817ED5" w:rsidRDefault="00D20C11" w:rsidP="009E4F4A">
      <w:pPr>
        <w:contextualSpacing/>
        <w:jc w:val="both"/>
        <w:rPr>
          <w:rFonts w:ascii="Cambria" w:eastAsia="Calibri" w:hAnsi="Cambria"/>
        </w:rPr>
      </w:pPr>
    </w:p>
    <w:p w:rsidR="00D20C11" w:rsidRPr="00817ED5" w:rsidRDefault="00D20C11" w:rsidP="009E4F4A">
      <w:pPr>
        <w:ind w:left="720"/>
        <w:contextualSpacing/>
        <w:jc w:val="center"/>
        <w:rPr>
          <w:rFonts w:ascii="Cambria" w:eastAsia="Calibri" w:hAnsi="Cambria"/>
          <w:b/>
        </w:rPr>
      </w:pPr>
      <w:r w:rsidRPr="00817ED5">
        <w:rPr>
          <w:rFonts w:ascii="Cambria" w:eastAsia="Calibri" w:hAnsi="Cambria"/>
          <w:b/>
        </w:rPr>
        <w:t>M.P.</w:t>
      </w:r>
    </w:p>
    <w:p w:rsidR="00D20C11" w:rsidRPr="00817ED5" w:rsidRDefault="00D20C11" w:rsidP="00D20C11">
      <w:pPr>
        <w:ind w:left="720"/>
        <w:contextualSpacing/>
        <w:jc w:val="both"/>
        <w:rPr>
          <w:rFonts w:ascii="Cambria" w:eastAsia="Calibri" w:hAnsi="Cambria"/>
          <w:b/>
        </w:rPr>
      </w:pPr>
    </w:p>
    <w:p w:rsidR="00D20C11" w:rsidRPr="00817ED5" w:rsidRDefault="00D20C11" w:rsidP="00D20C11">
      <w:pPr>
        <w:ind w:left="720"/>
        <w:contextualSpacing/>
        <w:jc w:val="both"/>
        <w:rPr>
          <w:rFonts w:ascii="Cambria" w:eastAsia="Calibri" w:hAnsi="Cambria"/>
          <w:b/>
        </w:rPr>
      </w:pPr>
      <w:r w:rsidRPr="00817ED5">
        <w:rPr>
          <w:rFonts w:ascii="Cambria" w:eastAsia="Calibri" w:hAnsi="Cambria"/>
          <w:b/>
        </w:rPr>
        <w:t xml:space="preserve">U _________________, </w:t>
      </w:r>
      <w:proofErr w:type="gramStart"/>
      <w:r w:rsidRPr="00817ED5">
        <w:rPr>
          <w:rFonts w:ascii="Cambria" w:eastAsia="Calibri" w:hAnsi="Cambria"/>
          <w:b/>
        </w:rPr>
        <w:t>dana</w:t>
      </w:r>
      <w:proofErr w:type="gramEnd"/>
      <w:r w:rsidRPr="00817ED5">
        <w:rPr>
          <w:rFonts w:ascii="Cambria" w:eastAsia="Calibri" w:hAnsi="Cambria"/>
          <w:b/>
        </w:rPr>
        <w:t xml:space="preserve"> ________________________________ godine.</w:t>
      </w:r>
    </w:p>
    <w:p w:rsidR="00D20C11" w:rsidRPr="00817ED5" w:rsidRDefault="00D20C11" w:rsidP="00D20C11">
      <w:pPr>
        <w:ind w:left="720"/>
        <w:contextualSpacing/>
        <w:jc w:val="both"/>
        <w:rPr>
          <w:rFonts w:ascii="Cambria" w:eastAsia="Calibri" w:hAnsi="Cambria"/>
          <w:b/>
        </w:rPr>
      </w:pPr>
    </w:p>
    <w:p w:rsidR="00D20C11" w:rsidRPr="00817ED5" w:rsidRDefault="00D20C11" w:rsidP="00D20C11">
      <w:pPr>
        <w:jc w:val="both"/>
        <w:rPr>
          <w:rFonts w:ascii="Cambria" w:eastAsia="Calibri" w:hAnsi="Cambria"/>
        </w:rPr>
      </w:pPr>
    </w:p>
    <w:p w:rsidR="00070C45" w:rsidRDefault="00070C45" w:rsidP="00D20C11">
      <w:pPr>
        <w:jc w:val="both"/>
        <w:rPr>
          <w:rFonts w:ascii="Cambria" w:eastAsia="Calibri" w:hAnsi="Cambria"/>
          <w:b/>
        </w:rPr>
      </w:pPr>
    </w:p>
    <w:p w:rsidR="00D20C11" w:rsidRPr="00817ED5" w:rsidRDefault="00D20C11" w:rsidP="00D20C11">
      <w:pPr>
        <w:jc w:val="both"/>
        <w:rPr>
          <w:rFonts w:ascii="Cambria" w:eastAsia="Calibri" w:hAnsi="Cambria"/>
          <w:b/>
        </w:rPr>
      </w:pPr>
      <w:r w:rsidRPr="00817ED5">
        <w:rPr>
          <w:rFonts w:ascii="Cambria" w:eastAsia="Calibri" w:hAnsi="Cambria"/>
          <w:b/>
        </w:rPr>
        <w:lastRenderedPageBreak/>
        <w:t>Obrazac 2.</w:t>
      </w:r>
    </w:p>
    <w:p w:rsidR="00D20C11" w:rsidRPr="00817ED5" w:rsidRDefault="00D20C11" w:rsidP="00D20C11">
      <w:pPr>
        <w:jc w:val="both"/>
        <w:rPr>
          <w:rFonts w:ascii="Cambria" w:eastAsia="Calibri" w:hAnsi="Cambria"/>
          <w:b/>
          <w:sz w:val="28"/>
          <w:szCs w:val="28"/>
        </w:rPr>
      </w:pPr>
      <w:r w:rsidRPr="00817ED5">
        <w:rPr>
          <w:rFonts w:ascii="Cambria" w:eastAsia="Calibri" w:hAnsi="Cambria"/>
          <w:b/>
        </w:rPr>
        <w:tab/>
      </w:r>
      <w:r w:rsidRPr="00817ED5">
        <w:rPr>
          <w:rFonts w:ascii="Cambria" w:eastAsia="Calibri" w:hAnsi="Cambria"/>
          <w:b/>
        </w:rPr>
        <w:tab/>
      </w:r>
      <w:r w:rsidRPr="00817ED5">
        <w:rPr>
          <w:rFonts w:ascii="Cambria" w:eastAsia="Calibri" w:hAnsi="Cambria"/>
          <w:b/>
        </w:rPr>
        <w:tab/>
      </w:r>
      <w:r w:rsidRPr="00817ED5">
        <w:rPr>
          <w:rFonts w:ascii="Cambria" w:eastAsia="Calibri" w:hAnsi="Cambria"/>
          <w:b/>
        </w:rPr>
        <w:tab/>
      </w:r>
      <w:r w:rsidRPr="00817ED5">
        <w:rPr>
          <w:rFonts w:ascii="Cambria" w:eastAsia="Calibri" w:hAnsi="Cambria"/>
          <w:b/>
        </w:rPr>
        <w:tab/>
      </w:r>
      <w:r w:rsidRPr="00817ED5">
        <w:rPr>
          <w:rFonts w:ascii="Cambria" w:eastAsia="Calibri" w:hAnsi="Cambria"/>
          <w:b/>
        </w:rPr>
        <w:tab/>
      </w:r>
      <w:r w:rsidRPr="00817ED5">
        <w:rPr>
          <w:rFonts w:ascii="Cambria" w:eastAsia="Calibri" w:hAnsi="Cambria"/>
          <w:b/>
          <w:sz w:val="28"/>
          <w:szCs w:val="28"/>
        </w:rPr>
        <w:t>TROŠKOVNIK</w:t>
      </w:r>
    </w:p>
    <w:p w:rsidR="00D20C11" w:rsidRPr="00817ED5" w:rsidRDefault="00D20C11" w:rsidP="00D20C11">
      <w:pPr>
        <w:jc w:val="both"/>
        <w:rPr>
          <w:rFonts w:ascii="Cambria" w:eastAsia="Calibri" w:hAnsi="Cambria"/>
        </w:rPr>
      </w:pPr>
    </w:p>
    <w:tbl>
      <w:tblPr>
        <w:tblpPr w:leftFromText="180" w:rightFromText="180" w:vertAnchor="text" w:tblpY="1"/>
        <w:tblOverlap w:val="never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034"/>
        <w:gridCol w:w="1140"/>
        <w:gridCol w:w="1285"/>
        <w:gridCol w:w="1283"/>
        <w:gridCol w:w="1568"/>
      </w:tblGrid>
      <w:tr w:rsidR="00D20C11" w:rsidRPr="00B05A94" w:rsidTr="00C127A9">
        <w:trPr>
          <w:trHeight w:val="649"/>
        </w:trPr>
        <w:tc>
          <w:tcPr>
            <w:tcW w:w="952" w:type="dxa"/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Redni broj</w:t>
            </w:r>
          </w:p>
        </w:tc>
        <w:tc>
          <w:tcPr>
            <w:tcW w:w="3034" w:type="dxa"/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Naziv predmeta nabave</w:t>
            </w:r>
          </w:p>
        </w:tc>
        <w:tc>
          <w:tcPr>
            <w:tcW w:w="1140" w:type="dxa"/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Jedinica mjere</w:t>
            </w:r>
          </w:p>
        </w:tc>
        <w:tc>
          <w:tcPr>
            <w:tcW w:w="1285" w:type="dxa"/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Količina</w:t>
            </w:r>
          </w:p>
        </w:tc>
        <w:tc>
          <w:tcPr>
            <w:tcW w:w="1283" w:type="dxa"/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Jedinična</w:t>
            </w: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cijena</w:t>
            </w:r>
          </w:p>
        </w:tc>
        <w:tc>
          <w:tcPr>
            <w:tcW w:w="1568" w:type="dxa"/>
            <w:shd w:val="clear" w:color="auto" w:fill="auto"/>
          </w:tcPr>
          <w:p w:rsidR="00D20C11" w:rsidRPr="00B05A94" w:rsidRDefault="00D20C11" w:rsidP="00C127A9">
            <w:pPr>
              <w:spacing w:after="160" w:line="259" w:lineRule="auto"/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Ukupna cijena</w:t>
            </w:r>
          </w:p>
        </w:tc>
      </w:tr>
      <w:tr w:rsidR="00D20C11" w:rsidRPr="00B05A94" w:rsidTr="00C127A9">
        <w:trPr>
          <w:trHeight w:val="462"/>
        </w:trPr>
        <w:tc>
          <w:tcPr>
            <w:tcW w:w="952" w:type="dxa"/>
            <w:tcBorders>
              <w:bottom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3034" w:type="dxa"/>
            <w:tcBorders>
              <w:bottom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285" w:type="dxa"/>
            <w:tcBorders>
              <w:bottom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568" w:type="dxa"/>
            <w:vMerge w:val="restart"/>
            <w:shd w:val="clear" w:color="auto" w:fill="auto"/>
          </w:tcPr>
          <w:p w:rsidR="00D20C11" w:rsidRPr="00B05A94" w:rsidRDefault="00D20C11" w:rsidP="00C127A9">
            <w:pPr>
              <w:spacing w:after="160" w:line="259" w:lineRule="auto"/>
              <w:jc w:val="both"/>
              <w:rPr>
                <w:rFonts w:ascii="Cambria" w:eastAsia="Calibri" w:hAnsi="Cambria"/>
              </w:rPr>
            </w:pPr>
          </w:p>
        </w:tc>
      </w:tr>
      <w:tr w:rsidR="00D20C11" w:rsidRPr="00B05A94" w:rsidTr="00C127A9">
        <w:trPr>
          <w:trHeight w:val="2099"/>
        </w:trPr>
        <w:tc>
          <w:tcPr>
            <w:tcW w:w="952" w:type="dxa"/>
            <w:tcBorders>
              <w:top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1.</w:t>
            </w:r>
          </w:p>
        </w:tc>
        <w:tc>
          <w:tcPr>
            <w:tcW w:w="3034" w:type="dxa"/>
            <w:tcBorders>
              <w:top w:val="nil"/>
            </w:tcBorders>
            <w:shd w:val="clear" w:color="auto" w:fill="auto"/>
          </w:tcPr>
          <w:p w:rsidR="00DF09D1" w:rsidRPr="00B05A94" w:rsidRDefault="0088322F" w:rsidP="0088322F">
            <w:pPr>
              <w:rPr>
                <w:rFonts w:ascii="Cambria" w:eastAsia="Calibri" w:hAnsi="Cambria"/>
                <w:lang w:eastAsia="zh-CN"/>
              </w:rPr>
            </w:pPr>
            <w:r>
              <w:rPr>
                <w:rFonts w:ascii="Cambria" w:eastAsia="Calibri" w:hAnsi="Cambria"/>
              </w:rPr>
              <w:t xml:space="preserve">USLUGA </w:t>
            </w:r>
            <w:r w:rsidR="00D20C11" w:rsidRPr="00B05A94">
              <w:rPr>
                <w:rFonts w:ascii="Cambria" w:eastAsia="Calibri" w:hAnsi="Cambria"/>
                <w:lang w:eastAsia="zh-CN"/>
              </w:rPr>
              <w:t xml:space="preserve">STRUČNOG NADZORA ZA PROVEDBU PROJEKTA:  ENERGETSKA OBNOVE </w:t>
            </w:r>
            <w:proofErr w:type="gramStart"/>
            <w:r w:rsidR="00D20C11" w:rsidRPr="00B05A94">
              <w:rPr>
                <w:rFonts w:ascii="Cambria" w:eastAsia="Calibri" w:hAnsi="Cambria"/>
                <w:lang w:eastAsia="zh-CN"/>
              </w:rPr>
              <w:t xml:space="preserve">ZGRADE </w:t>
            </w:r>
            <w:r w:rsidR="00D20C11" w:rsidRPr="00B05A94">
              <w:rPr>
                <w:rFonts w:ascii="Cambria" w:eastAsia="Calibri" w:hAnsi="Cambria"/>
              </w:rPr>
              <w:t xml:space="preserve"> </w:t>
            </w:r>
            <w:r w:rsidR="00DF09D1">
              <w:rPr>
                <w:rFonts w:ascii="Cambria" w:eastAsia="Calibri" w:hAnsi="Cambria"/>
                <w:lang w:eastAsia="zh-CN"/>
              </w:rPr>
              <w:t>MJEŠOVITE</w:t>
            </w:r>
            <w:proofErr w:type="gramEnd"/>
            <w:r w:rsidR="00DF09D1">
              <w:rPr>
                <w:rFonts w:ascii="Cambria" w:eastAsia="Calibri" w:hAnsi="Cambria"/>
                <w:lang w:eastAsia="zh-CN"/>
              </w:rPr>
              <w:t xml:space="preserve"> INDUSTRIJSKO-OBRTNIČKE</w:t>
            </w:r>
            <w:r w:rsidR="00D20C11" w:rsidRPr="00B05A94">
              <w:rPr>
                <w:rFonts w:ascii="Cambria" w:eastAsia="Calibri" w:hAnsi="Cambria"/>
                <w:lang w:eastAsia="zh-CN"/>
              </w:rPr>
              <w:t xml:space="preserve"> ŠKOLE NA A</w:t>
            </w:r>
            <w:r w:rsidR="00DF09D1">
              <w:rPr>
                <w:rFonts w:ascii="Cambria" w:eastAsia="Calibri" w:hAnsi="Cambria"/>
                <w:lang w:eastAsia="zh-CN"/>
              </w:rPr>
              <w:t xml:space="preserve">DRESI STRUGA 33, 47000 KARLOVAC </w:t>
            </w:r>
            <w:r w:rsidR="00D20C11" w:rsidRPr="00B05A94">
              <w:rPr>
                <w:rFonts w:ascii="Cambria" w:eastAsia="Calibri" w:hAnsi="Cambria"/>
                <w:lang w:eastAsia="zh-CN"/>
              </w:rPr>
              <w:t xml:space="preserve"> – KK. 04.2.1.04.06</w:t>
            </w:r>
            <w:r w:rsidR="00DF09D1">
              <w:rPr>
                <w:rFonts w:ascii="Cambria" w:eastAsia="Calibri" w:hAnsi="Cambria"/>
                <w:lang w:eastAsia="zh-CN"/>
              </w:rPr>
              <w:t>8</w:t>
            </w:r>
            <w:r w:rsidR="00D20C11" w:rsidRPr="00B05A94">
              <w:rPr>
                <w:rFonts w:ascii="Cambria" w:eastAsia="Calibri" w:hAnsi="Cambria"/>
                <w:lang w:eastAsia="zh-CN"/>
              </w:rPr>
              <w:t>3</w:t>
            </w: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  <w:highlight w:val="yellow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kom</w:t>
            </w: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1,00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D20C11" w:rsidRPr="00B05A94" w:rsidRDefault="00D20C11" w:rsidP="00C127A9">
            <w:pPr>
              <w:spacing w:after="160" w:line="259" w:lineRule="auto"/>
              <w:jc w:val="both"/>
              <w:rPr>
                <w:rFonts w:ascii="Cambria" w:eastAsia="Calibri" w:hAnsi="Cambria"/>
              </w:rPr>
            </w:pPr>
          </w:p>
        </w:tc>
      </w:tr>
      <w:tr w:rsidR="00D20C11" w:rsidRPr="00B05A94" w:rsidTr="00C127A9">
        <w:trPr>
          <w:trHeight w:val="472"/>
        </w:trPr>
        <w:tc>
          <w:tcPr>
            <w:tcW w:w="6411" w:type="dxa"/>
            <w:gridSpan w:val="4"/>
            <w:tcBorders>
              <w:right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CIJENA PONUDE</w:t>
            </w:r>
          </w:p>
        </w:tc>
        <w:tc>
          <w:tcPr>
            <w:tcW w:w="1283" w:type="dxa"/>
            <w:tcBorders>
              <w:left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568" w:type="dxa"/>
            <w:shd w:val="clear" w:color="auto" w:fill="auto"/>
          </w:tcPr>
          <w:p w:rsidR="00D20C11" w:rsidRPr="00B05A94" w:rsidRDefault="00D20C11" w:rsidP="00C127A9">
            <w:pPr>
              <w:spacing w:after="160" w:line="259" w:lineRule="auto"/>
              <w:jc w:val="both"/>
              <w:rPr>
                <w:rFonts w:ascii="Cambria" w:eastAsia="Calibri" w:hAnsi="Cambria"/>
              </w:rPr>
            </w:pPr>
          </w:p>
        </w:tc>
      </w:tr>
      <w:tr w:rsidR="00D20C11" w:rsidRPr="00B05A94" w:rsidTr="00C127A9">
        <w:trPr>
          <w:trHeight w:val="462"/>
        </w:trPr>
        <w:tc>
          <w:tcPr>
            <w:tcW w:w="6411" w:type="dxa"/>
            <w:gridSpan w:val="4"/>
            <w:tcBorders>
              <w:right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PDV (25%)</w:t>
            </w:r>
          </w:p>
        </w:tc>
        <w:tc>
          <w:tcPr>
            <w:tcW w:w="1283" w:type="dxa"/>
            <w:tcBorders>
              <w:left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568" w:type="dxa"/>
            <w:shd w:val="clear" w:color="auto" w:fill="auto"/>
          </w:tcPr>
          <w:p w:rsidR="00D20C11" w:rsidRPr="00B05A94" w:rsidRDefault="00D20C11" w:rsidP="00C127A9">
            <w:pPr>
              <w:spacing w:after="160" w:line="259" w:lineRule="auto"/>
              <w:jc w:val="both"/>
              <w:rPr>
                <w:rFonts w:ascii="Cambria" w:eastAsia="Calibri" w:hAnsi="Cambria"/>
              </w:rPr>
            </w:pPr>
          </w:p>
        </w:tc>
      </w:tr>
      <w:tr w:rsidR="00D20C11" w:rsidRPr="00B05A94" w:rsidTr="00C127A9">
        <w:trPr>
          <w:trHeight w:val="499"/>
        </w:trPr>
        <w:tc>
          <w:tcPr>
            <w:tcW w:w="6411" w:type="dxa"/>
            <w:gridSpan w:val="4"/>
            <w:tcBorders>
              <w:right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  <w:r w:rsidRPr="00B05A94">
              <w:rPr>
                <w:rFonts w:ascii="Cambria" w:eastAsia="Calibri" w:hAnsi="Cambria"/>
              </w:rPr>
              <w:t>UKUPNA CIJENA PONUDE S PDV-om</w:t>
            </w:r>
          </w:p>
        </w:tc>
        <w:tc>
          <w:tcPr>
            <w:tcW w:w="1283" w:type="dxa"/>
            <w:tcBorders>
              <w:left w:val="nil"/>
            </w:tcBorders>
            <w:shd w:val="clear" w:color="auto" w:fill="auto"/>
          </w:tcPr>
          <w:p w:rsidR="00D20C11" w:rsidRPr="00B05A94" w:rsidRDefault="00D20C11" w:rsidP="00C127A9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568" w:type="dxa"/>
            <w:shd w:val="clear" w:color="auto" w:fill="auto"/>
          </w:tcPr>
          <w:p w:rsidR="00D20C11" w:rsidRPr="00B05A94" w:rsidRDefault="00D20C11" w:rsidP="00C127A9">
            <w:pPr>
              <w:spacing w:after="160" w:line="259" w:lineRule="auto"/>
              <w:jc w:val="both"/>
              <w:rPr>
                <w:rFonts w:ascii="Cambria" w:eastAsia="Calibri" w:hAnsi="Cambria"/>
              </w:rPr>
            </w:pPr>
          </w:p>
        </w:tc>
      </w:tr>
    </w:tbl>
    <w:p w:rsidR="00D20C11" w:rsidRPr="009E4F4A" w:rsidRDefault="00D20C11" w:rsidP="00D20C11">
      <w:pPr>
        <w:suppressAutoHyphens/>
        <w:jc w:val="both"/>
        <w:rPr>
          <w:rFonts w:ascii="Cambria" w:eastAsia="Calibri" w:hAnsi="Cambria"/>
          <w:color w:val="FFFFFF" w:themeColor="background1"/>
          <w:shd w:val="clear" w:color="auto" w:fill="C0C0C0"/>
          <w:lang w:eastAsia="zh-CN"/>
        </w:rPr>
      </w:pPr>
    </w:p>
    <w:p w:rsidR="00DF09D1" w:rsidRPr="0088322F" w:rsidRDefault="00DF09D1" w:rsidP="0088322F">
      <w:pPr>
        <w:suppressAutoHyphens/>
        <w:spacing w:after="0"/>
        <w:jc w:val="both"/>
        <w:rPr>
          <w:rFonts w:ascii="Cambria" w:eastAsia="Calibri" w:hAnsi="Cambria"/>
          <w:color w:val="FFFFFF" w:themeColor="background1"/>
          <w:shd w:val="clear" w:color="auto" w:fill="C0C0C0"/>
          <w:lang w:eastAsia="zh-CN"/>
        </w:rPr>
      </w:pPr>
      <w:r w:rsidRPr="009E4F4A">
        <w:rPr>
          <w:rFonts w:ascii="Cambria" w:eastAsia="Calibri" w:hAnsi="Cambria"/>
          <w:color w:val="FFFFFF" w:themeColor="background1"/>
          <w:shd w:val="clear" w:color="auto" w:fill="C0C0C0"/>
          <w:lang w:eastAsia="zh-CN"/>
        </w:rPr>
        <w:t xml:space="preserve">                                                                                        </w:t>
      </w:r>
      <w:r w:rsidR="0088322F">
        <w:rPr>
          <w:rFonts w:ascii="Cambria" w:eastAsia="Calibri" w:hAnsi="Cambria"/>
          <w:color w:val="FFFFFF" w:themeColor="background1"/>
          <w:shd w:val="clear" w:color="auto" w:fill="C0C0C0"/>
          <w:lang w:eastAsia="zh-CN"/>
        </w:rPr>
        <w:t xml:space="preserve"> </w:t>
      </w:r>
    </w:p>
    <w:p w:rsidR="009E4F4A" w:rsidRPr="00817ED5" w:rsidRDefault="009E4F4A" w:rsidP="009E4F4A">
      <w:pPr>
        <w:spacing w:after="0"/>
        <w:jc w:val="right"/>
        <w:rPr>
          <w:rFonts w:ascii="Cambria" w:eastAsia="Calibri" w:hAnsi="Cambria"/>
        </w:rPr>
      </w:pPr>
      <w:r w:rsidRPr="00817ED5">
        <w:rPr>
          <w:rFonts w:ascii="Cambria" w:eastAsia="Calibri" w:hAnsi="Cambria"/>
          <w:b/>
        </w:rPr>
        <w:t xml:space="preserve">          </w:t>
      </w:r>
      <w:r w:rsidRPr="00817ED5">
        <w:rPr>
          <w:rFonts w:ascii="Cambria" w:eastAsia="Calibri" w:hAnsi="Cambria"/>
        </w:rPr>
        <w:t>__________________________________</w:t>
      </w:r>
      <w:r>
        <w:rPr>
          <w:rFonts w:ascii="Cambria" w:eastAsia="Calibri" w:hAnsi="Cambria"/>
        </w:rPr>
        <w:t>________________</w:t>
      </w:r>
      <w:r w:rsidRPr="00817ED5">
        <w:rPr>
          <w:rFonts w:ascii="Cambria" w:eastAsia="Calibri" w:hAnsi="Cambria"/>
        </w:rPr>
        <w:t xml:space="preserve">____                      </w:t>
      </w:r>
    </w:p>
    <w:p w:rsidR="009E4F4A" w:rsidRPr="00817ED5" w:rsidRDefault="009E4F4A" w:rsidP="009E4F4A">
      <w:pPr>
        <w:spacing w:after="0"/>
        <w:jc w:val="right"/>
        <w:rPr>
          <w:rFonts w:ascii="Cambria" w:eastAsia="Calibri" w:hAnsi="Cambria"/>
        </w:rPr>
      </w:pPr>
      <w:r w:rsidRPr="00817ED5">
        <w:rPr>
          <w:rFonts w:ascii="Cambria" w:eastAsia="Calibri" w:hAnsi="Cambria"/>
        </w:rPr>
        <w:t xml:space="preserve">                                                                   </w:t>
      </w:r>
      <w:r w:rsidRPr="00817ED5">
        <w:rPr>
          <w:rFonts w:ascii="Cambria" w:eastAsia="Calibri" w:hAnsi="Cambria"/>
        </w:rPr>
        <w:tab/>
        <w:t xml:space="preserve"> (</w:t>
      </w:r>
      <w:proofErr w:type="gramStart"/>
      <w:r w:rsidRPr="00817ED5">
        <w:rPr>
          <w:rFonts w:ascii="Cambria" w:eastAsia="Calibri" w:hAnsi="Cambria"/>
        </w:rPr>
        <w:t>pečat</w:t>
      </w:r>
      <w:proofErr w:type="gramEnd"/>
      <w:r w:rsidRPr="00817ED5">
        <w:rPr>
          <w:rFonts w:ascii="Cambria" w:eastAsia="Calibri" w:hAnsi="Cambria"/>
        </w:rPr>
        <w:t>, ime i prezime i potpis ovlaštene osobe)</w:t>
      </w:r>
    </w:p>
    <w:p w:rsidR="00DF09D1" w:rsidRPr="00817ED5" w:rsidRDefault="00DF09D1" w:rsidP="00DF09D1">
      <w:pPr>
        <w:jc w:val="both"/>
        <w:rPr>
          <w:rFonts w:ascii="Cambria" w:eastAsia="Calibri" w:hAnsi="Cambria"/>
        </w:rPr>
      </w:pPr>
    </w:p>
    <w:p w:rsidR="00DF09D1" w:rsidRPr="00817ED5" w:rsidRDefault="00DF09D1" w:rsidP="00DF09D1">
      <w:pPr>
        <w:spacing w:after="0"/>
        <w:jc w:val="right"/>
        <w:rPr>
          <w:rFonts w:ascii="Cambria" w:eastAsia="Calibri" w:hAnsi="Cambria"/>
        </w:rPr>
      </w:pPr>
      <w:r w:rsidRPr="00817ED5">
        <w:rPr>
          <w:rFonts w:ascii="Cambria" w:eastAsia="Calibri" w:hAnsi="Cambria"/>
        </w:rPr>
        <w:t>___________________________________</w:t>
      </w:r>
    </w:p>
    <w:p w:rsidR="00DF09D1" w:rsidRPr="00817ED5" w:rsidRDefault="00DF09D1" w:rsidP="00DF09D1">
      <w:pPr>
        <w:spacing w:after="0"/>
        <w:jc w:val="center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                                                                                                                                      </w:t>
      </w:r>
      <w:r w:rsidRPr="00817ED5">
        <w:rPr>
          <w:rFonts w:ascii="Cambria" w:eastAsia="Calibri" w:hAnsi="Cambria"/>
        </w:rPr>
        <w:t>(</w:t>
      </w:r>
      <w:proofErr w:type="gramStart"/>
      <w:r w:rsidRPr="00817ED5">
        <w:rPr>
          <w:rFonts w:ascii="Cambria" w:eastAsia="Calibri" w:hAnsi="Cambria"/>
        </w:rPr>
        <w:t>mjesto</w:t>
      </w:r>
      <w:proofErr w:type="gramEnd"/>
      <w:r w:rsidRPr="00817ED5">
        <w:rPr>
          <w:rFonts w:ascii="Cambria" w:eastAsia="Calibri" w:hAnsi="Cambria"/>
        </w:rPr>
        <w:t xml:space="preserve"> i datum)</w:t>
      </w:r>
    </w:p>
    <w:p w:rsidR="00D20C11" w:rsidRDefault="00D20C11" w:rsidP="00D20C11">
      <w:pPr>
        <w:suppressAutoHyphens/>
        <w:jc w:val="both"/>
        <w:rPr>
          <w:rFonts w:ascii="Cambria" w:eastAsia="Calibri" w:hAnsi="Cambria"/>
          <w:shd w:val="clear" w:color="auto" w:fill="C0C0C0"/>
          <w:lang w:eastAsia="zh-CN"/>
        </w:rPr>
      </w:pPr>
    </w:p>
    <w:p w:rsidR="0088322F" w:rsidRDefault="0088322F" w:rsidP="00D20C11">
      <w:pPr>
        <w:suppressAutoHyphens/>
        <w:jc w:val="both"/>
        <w:rPr>
          <w:rFonts w:ascii="Cambria" w:eastAsia="Calibri" w:hAnsi="Cambria"/>
          <w:shd w:val="clear" w:color="auto" w:fill="C0C0C0"/>
          <w:lang w:eastAsia="zh-CN"/>
        </w:rPr>
      </w:pPr>
    </w:p>
    <w:p w:rsidR="0088322F" w:rsidRDefault="0088322F" w:rsidP="00D20C11">
      <w:pPr>
        <w:suppressAutoHyphens/>
        <w:jc w:val="both"/>
        <w:rPr>
          <w:rFonts w:ascii="Cambria" w:eastAsia="Calibri" w:hAnsi="Cambria"/>
          <w:shd w:val="clear" w:color="auto" w:fill="C0C0C0"/>
          <w:lang w:eastAsia="zh-CN"/>
        </w:rPr>
      </w:pPr>
    </w:p>
    <w:p w:rsidR="0088322F" w:rsidRDefault="0088322F" w:rsidP="00D20C11">
      <w:pPr>
        <w:suppressAutoHyphens/>
        <w:jc w:val="both"/>
        <w:rPr>
          <w:rFonts w:ascii="Cambria" w:eastAsia="Calibri" w:hAnsi="Cambria"/>
          <w:shd w:val="clear" w:color="auto" w:fill="C0C0C0"/>
          <w:lang w:eastAsia="zh-CN"/>
        </w:rPr>
      </w:pPr>
    </w:p>
    <w:p w:rsidR="0088322F" w:rsidRPr="00817ED5" w:rsidRDefault="0088322F" w:rsidP="00D20C11">
      <w:pPr>
        <w:suppressAutoHyphens/>
        <w:jc w:val="both"/>
        <w:rPr>
          <w:rFonts w:ascii="Cambria" w:eastAsia="Calibri" w:hAnsi="Cambria"/>
          <w:shd w:val="clear" w:color="auto" w:fill="C0C0C0"/>
          <w:lang w:eastAsia="zh-CN"/>
        </w:rPr>
      </w:pPr>
    </w:p>
    <w:p w:rsidR="00D20C11" w:rsidRPr="00436C5D" w:rsidRDefault="00D20C11" w:rsidP="00D20C11">
      <w:pPr>
        <w:rPr>
          <w:rFonts w:ascii="Cambria" w:hAnsi="Cambria" w:cs="Arial"/>
          <w:b/>
          <w:bCs/>
        </w:rPr>
      </w:pPr>
    </w:p>
    <w:p w:rsidR="00D20C11" w:rsidRPr="009E4F4A" w:rsidRDefault="00D20C11" w:rsidP="00D20C11">
      <w:pPr>
        <w:rPr>
          <w:rFonts w:ascii="Cambria" w:hAnsi="Cambria" w:cs="Arial"/>
          <w:b/>
          <w:bCs/>
        </w:rPr>
      </w:pPr>
      <w:r w:rsidRPr="00436C5D">
        <w:rPr>
          <w:rFonts w:ascii="Cambria" w:hAnsi="Cambria" w:cs="Arial"/>
          <w:b/>
          <w:bCs/>
        </w:rPr>
        <w:lastRenderedPageBreak/>
        <w:t>Obrazac 3</w:t>
      </w:r>
    </w:p>
    <w:p w:rsidR="00D20C11" w:rsidRDefault="00D20C11" w:rsidP="00D20C11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4454"/>
      </w:tblGrid>
      <w:tr w:rsidR="00D20C11" w:rsidRPr="00701634" w:rsidTr="00C127A9">
        <w:tc>
          <w:tcPr>
            <w:tcW w:w="918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  <w:r w:rsidRPr="00701634">
              <w:rPr>
                <w:rFonts w:ascii="Cambria" w:hAnsi="Cambria" w:cs="Arial"/>
              </w:rPr>
              <w:t>Red. br.</w:t>
            </w:r>
          </w:p>
        </w:tc>
        <w:tc>
          <w:tcPr>
            <w:tcW w:w="3870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  <w:r w:rsidRPr="00701634">
              <w:rPr>
                <w:rFonts w:ascii="Cambria" w:hAnsi="Cambria" w:cs="Arial"/>
              </w:rPr>
              <w:t>Naziv projekta u kojem je vršen stručni nadzor</w:t>
            </w:r>
          </w:p>
        </w:tc>
        <w:tc>
          <w:tcPr>
            <w:tcW w:w="4454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  <w:r w:rsidRPr="00701634">
              <w:rPr>
                <w:rFonts w:ascii="Cambria" w:hAnsi="Cambria" w:cs="Arial"/>
              </w:rPr>
              <w:t>Točan naziv EU ili nacionalnog Programa kroz koji je projekt sufinanciran</w:t>
            </w:r>
          </w:p>
        </w:tc>
      </w:tr>
      <w:tr w:rsidR="00D20C11" w:rsidRPr="00701634" w:rsidTr="00C127A9">
        <w:tc>
          <w:tcPr>
            <w:tcW w:w="918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4454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</w:tr>
      <w:tr w:rsidR="00D20C11" w:rsidRPr="00701634" w:rsidTr="00C127A9">
        <w:tc>
          <w:tcPr>
            <w:tcW w:w="918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4454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</w:tr>
      <w:tr w:rsidR="00D20C11" w:rsidRPr="00701634" w:rsidTr="00C127A9">
        <w:tc>
          <w:tcPr>
            <w:tcW w:w="918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4454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</w:tr>
      <w:tr w:rsidR="00D20C11" w:rsidRPr="00701634" w:rsidTr="00C127A9">
        <w:tc>
          <w:tcPr>
            <w:tcW w:w="918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  <w:tc>
          <w:tcPr>
            <w:tcW w:w="4454" w:type="dxa"/>
            <w:shd w:val="clear" w:color="auto" w:fill="auto"/>
          </w:tcPr>
          <w:p w:rsidR="00D20C11" w:rsidRPr="00701634" w:rsidRDefault="00D20C11" w:rsidP="00C127A9">
            <w:pPr>
              <w:rPr>
                <w:rFonts w:ascii="Cambria" w:hAnsi="Cambria" w:cs="Arial"/>
              </w:rPr>
            </w:pPr>
          </w:p>
        </w:tc>
      </w:tr>
    </w:tbl>
    <w:p w:rsidR="00D20C11" w:rsidRPr="00817ED5" w:rsidRDefault="00D20C11" w:rsidP="00D20C11">
      <w:pPr>
        <w:rPr>
          <w:rFonts w:ascii="Cambria" w:hAnsi="Cambria" w:cs="Arial"/>
        </w:rPr>
      </w:pPr>
    </w:p>
    <w:p w:rsidR="00D20C11" w:rsidRPr="002650D4" w:rsidRDefault="00D20C11" w:rsidP="000036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6CD" w:rsidRPr="002650D4" w:rsidRDefault="000036CD" w:rsidP="0000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036CD" w:rsidRPr="002650D4" w:rsidSect="006873E2">
      <w:footerReference w:type="default" r:id="rId14"/>
      <w:pgSz w:w="12240" w:h="15840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5F" w:rsidRDefault="00E8385F" w:rsidP="0088322F">
      <w:pPr>
        <w:spacing w:after="0" w:line="240" w:lineRule="auto"/>
      </w:pPr>
      <w:r>
        <w:separator/>
      </w:r>
    </w:p>
  </w:endnote>
  <w:endnote w:type="continuationSeparator" w:id="0">
    <w:p w:rsidR="00E8385F" w:rsidRDefault="00E8385F" w:rsidP="0088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69" w:rsidRDefault="007D560A">
    <w:pPr>
      <w:pStyle w:val="Footer"/>
    </w:pPr>
    <w:r w:rsidRPr="008C6716">
      <w:rPr>
        <w:rFonts w:ascii="Times New Roman" w:hAnsi="Times New Roman" w:cs="Times New Roman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-695325</wp:posOffset>
          </wp:positionV>
          <wp:extent cx="6132573" cy="140843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573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5E69">
      <w:rPr>
        <w:rFonts w:ascii="Times New Roman" w:hAnsi="Times New Roman" w:cs="Times New Roman"/>
        <w:noProof/>
      </w:rPr>
      <w:t xml:space="preserve"> </w:t>
    </w:r>
  </w:p>
  <w:p w:rsidR="00DF2C06" w:rsidRDefault="00E8385F" w:rsidP="00DF2C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5F" w:rsidRDefault="00E8385F" w:rsidP="0088322F">
      <w:pPr>
        <w:spacing w:after="0" w:line="240" w:lineRule="auto"/>
      </w:pPr>
      <w:r>
        <w:separator/>
      </w:r>
    </w:p>
  </w:footnote>
  <w:footnote w:type="continuationSeparator" w:id="0">
    <w:p w:rsidR="00E8385F" w:rsidRDefault="00E8385F" w:rsidP="0088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vanish w:val="0"/>
        <w:sz w:val="21"/>
        <w:szCs w:val="21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vanish w:val="0"/>
        <w:sz w:val="21"/>
        <w:szCs w:val="21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vanish w:val="0"/>
        <w:sz w:val="21"/>
        <w:szCs w:val="21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625F9F"/>
    <w:multiLevelType w:val="hybridMultilevel"/>
    <w:tmpl w:val="52842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75EBD"/>
    <w:multiLevelType w:val="hybridMultilevel"/>
    <w:tmpl w:val="A36877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748B7"/>
    <w:multiLevelType w:val="hybridMultilevel"/>
    <w:tmpl w:val="55343232"/>
    <w:lvl w:ilvl="0" w:tplc="0190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4A7DAA"/>
    <w:multiLevelType w:val="hybridMultilevel"/>
    <w:tmpl w:val="71BA5A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D3977"/>
    <w:multiLevelType w:val="multilevel"/>
    <w:tmpl w:val="9F7E14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9614EE"/>
    <w:multiLevelType w:val="multilevel"/>
    <w:tmpl w:val="59162D52"/>
    <w:lvl w:ilvl="0">
      <w:start w:val="1"/>
      <w:numFmt w:val="bullet"/>
      <w:lvlText w:val="-"/>
      <w:lvlJc w:val="left"/>
      <w:pPr>
        <w:ind w:left="106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3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65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37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409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81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53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25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97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7" w15:restartNumberingAfterBreak="0">
    <w:nsid w:val="4CF110C8"/>
    <w:multiLevelType w:val="multilevel"/>
    <w:tmpl w:val="0FC8D59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FA0453"/>
    <w:multiLevelType w:val="hybridMultilevel"/>
    <w:tmpl w:val="448E80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E719A3"/>
    <w:multiLevelType w:val="hybridMultilevel"/>
    <w:tmpl w:val="4012586C"/>
    <w:lvl w:ilvl="0" w:tplc="DCC285E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18A4"/>
    <w:multiLevelType w:val="multilevel"/>
    <w:tmpl w:val="EA707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A16964"/>
    <w:multiLevelType w:val="multilevel"/>
    <w:tmpl w:val="1D549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BF036DD"/>
    <w:multiLevelType w:val="multilevel"/>
    <w:tmpl w:val="16C26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27F8"/>
    <w:multiLevelType w:val="multilevel"/>
    <w:tmpl w:val="1148629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2017D"/>
    <w:multiLevelType w:val="hybridMultilevel"/>
    <w:tmpl w:val="6ACC80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94943"/>
    <w:multiLevelType w:val="hybridMultilevel"/>
    <w:tmpl w:val="6560A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CD"/>
    <w:rsid w:val="000036CD"/>
    <w:rsid w:val="00070C45"/>
    <w:rsid w:val="000C6262"/>
    <w:rsid w:val="000E0F4F"/>
    <w:rsid w:val="00211B15"/>
    <w:rsid w:val="002650D4"/>
    <w:rsid w:val="004A79EE"/>
    <w:rsid w:val="005223B5"/>
    <w:rsid w:val="006124AC"/>
    <w:rsid w:val="00633E6C"/>
    <w:rsid w:val="006D2BF9"/>
    <w:rsid w:val="007A5E10"/>
    <w:rsid w:val="007D560A"/>
    <w:rsid w:val="0088322F"/>
    <w:rsid w:val="009C0ED8"/>
    <w:rsid w:val="009E4F4A"/>
    <w:rsid w:val="00A64299"/>
    <w:rsid w:val="00B126FE"/>
    <w:rsid w:val="00B23F54"/>
    <w:rsid w:val="00B705CC"/>
    <w:rsid w:val="00D20C11"/>
    <w:rsid w:val="00DF09D1"/>
    <w:rsid w:val="00E8385F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D34A-BB93-4119-A9B0-FD38518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6CD"/>
    <w:rPr>
      <w:color w:val="0000FF" w:themeColor="hyperlink"/>
      <w:u w:val="single"/>
    </w:rPr>
  </w:style>
  <w:style w:type="paragraph" w:styleId="Footer">
    <w:name w:val="footer"/>
    <w:basedOn w:val="Normal"/>
    <w:link w:val="PodnojeChar"/>
    <w:uiPriority w:val="99"/>
    <w:unhideWhenUsed/>
    <w:rsid w:val="0000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0036CD"/>
    <w:rPr>
      <w:lang w:val="en-US"/>
    </w:rPr>
  </w:style>
  <w:style w:type="paragraph" w:styleId="NoSpacing">
    <w:name w:val="No Spacing"/>
    <w:uiPriority w:val="1"/>
    <w:qFormat/>
    <w:rsid w:val="000036C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00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0036CD"/>
    <w:rPr>
      <w:rFonts w:ascii="Tahoma" w:hAnsi="Tahoma" w:cs="Tahoma"/>
      <w:sz w:val="16"/>
      <w:szCs w:val="16"/>
      <w:lang w:val="en-US"/>
    </w:rPr>
  </w:style>
  <w:style w:type="paragraph" w:customStyle="1" w:styleId="Textbody">
    <w:name w:val="Text body"/>
    <w:basedOn w:val="Normal"/>
    <w:rsid w:val="000036C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HR" w:eastAsia="ar-SA"/>
    </w:rPr>
  </w:style>
  <w:style w:type="paragraph" w:styleId="Header">
    <w:name w:val="header"/>
    <w:basedOn w:val="Normal"/>
    <w:link w:val="ZaglavljeChar"/>
    <w:uiPriority w:val="99"/>
    <w:unhideWhenUsed/>
    <w:rsid w:val="0088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8832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mios-ka.skole.hr" TargetMode="External"/><Relationship Id="rId13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red@ss-mios-ka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mios-ka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ed@ss-mios-k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mios-ka.skole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2552</Words>
  <Characters>14552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7</vt:i4>
      </vt:variant>
    </vt:vector>
  </HeadingPairs>
  <TitlesOfParts>
    <vt:vector size="9" baseType="lpstr">
      <vt:lpstr/>
      <vt:lpstr/>
      <vt:lpstr>    Uvjeti sposobnosti za obavljanje profesionalne djelatnosti</vt:lpstr>
      <vt:lpstr>    6.1. Upis u sudski, obrtni, strukovni ili drugi odgovarajući registar u državi p</vt:lpstr>
      <vt:lpstr>    Ponuditelj mora dokazati svoj upis u sudski, obrtni, strukovni ili drugi odgovar</vt:lpstr>
      <vt:lpstr>    Sposobnost za obavljanje profesionalne djelatnosti ponuditelj dokazuje izvatkom </vt:lpstr>
      <vt:lpstr>    Uvjeti tehničke i stručne sposobnosti</vt:lpstr>
      <vt:lpstr>    6.2. Popis tehničkih stručnjaka potrebnih za izvršenje ugovora</vt:lpstr>
      <vt:lpstr>    Sukladno vrsti radova koje je potrebno nadzirati, ponuditelj mora raspolagati st</vt:lpstr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</cp:lastModifiedBy>
  <cp:revision>2</cp:revision>
  <cp:lastPrinted>2019-08-30T08:48:00Z</cp:lastPrinted>
  <dcterms:created xsi:type="dcterms:W3CDTF">2019-08-30T10:17:00Z</dcterms:created>
  <dcterms:modified xsi:type="dcterms:W3CDTF">2019-08-30T10:17:00Z</dcterms:modified>
</cp:coreProperties>
</file>