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4" w:rsidRPr="00CD4104" w:rsidRDefault="00CD4104" w:rsidP="00CD4104">
      <w:pPr>
        <w:spacing w:after="0"/>
        <w:jc w:val="center"/>
        <w:rPr>
          <w:rFonts w:ascii="Arial" w:hAnsi="Arial" w:cs="Arial"/>
        </w:rPr>
      </w:pPr>
      <w:r w:rsidRPr="00CD4104">
        <w:rPr>
          <w:rFonts w:ascii="Arial" w:hAnsi="Arial" w:cs="Arial"/>
        </w:rPr>
        <w:t>Na temelju članka 37. Statuta Mješovite industrijsko-obrtnička škole Školski odbor na</w:t>
      </w:r>
    </w:p>
    <w:p w:rsidR="00CD4104" w:rsidRPr="00CD4104" w:rsidRDefault="00CD4104" w:rsidP="00CD4104">
      <w:pPr>
        <w:spacing w:after="0"/>
        <w:jc w:val="center"/>
        <w:rPr>
          <w:rFonts w:ascii="Arial" w:hAnsi="Arial" w:cs="Arial"/>
        </w:rPr>
      </w:pPr>
      <w:r w:rsidRPr="00CD4104">
        <w:rPr>
          <w:rFonts w:ascii="Arial" w:hAnsi="Arial" w:cs="Arial"/>
        </w:rPr>
        <w:t>sjednici 5. 3. 2024. godine donosi posebne izvještaje kao sastavni dio izvješća o izvršenju financijskog plana za 2023. godinu:</w:t>
      </w:r>
    </w:p>
    <w:p w:rsidR="00CD4104" w:rsidRDefault="00CD4104" w:rsidP="009730D7">
      <w:pPr>
        <w:jc w:val="both"/>
        <w:rPr>
          <w:b/>
        </w:rPr>
      </w:pPr>
    </w:p>
    <w:p w:rsidR="004145CF" w:rsidRDefault="00A00879" w:rsidP="009730D7">
      <w:pPr>
        <w:jc w:val="both"/>
        <w:rPr>
          <w:b/>
        </w:rPr>
      </w:pPr>
      <w:r w:rsidRPr="00A00879">
        <w:rPr>
          <w:b/>
        </w:rPr>
        <w:t>PRILOG 1: IZVJEŠTAJ O KORIŠTENJU SREDSTAVA FONDOVA EUROPSKE UNIJE</w:t>
      </w:r>
    </w:p>
    <w:p w:rsidR="00D00246" w:rsidRDefault="00EC3B7B" w:rsidP="009730D7">
      <w:pPr>
        <w:jc w:val="both"/>
      </w:pPr>
      <w:r>
        <w:t xml:space="preserve">Tijekom 2023. godine je još uvijek u tijeku bio projekt temeljem Ugovora o dodjeli bespovratnih sredstava za projekt s jednim korisnikom u okviru programa ERASMUS+ (broj ugovora: </w:t>
      </w:r>
      <w:r w:rsidRPr="00C4035B">
        <w:rPr>
          <w:b/>
        </w:rPr>
        <w:t>2022-1-HR01-KA122-VET-000073892</w:t>
      </w:r>
      <w:r>
        <w:t>) u ukupnoj vrijednosti 82. 391,00 EUR, trajanje projekta 1.6.2022.-30.6.2023.</w:t>
      </w:r>
    </w:p>
    <w:p w:rsidR="00EC3B7B" w:rsidRDefault="001148DC" w:rsidP="009730D7">
      <w:pPr>
        <w:jc w:val="both"/>
      </w:pPr>
      <w:r>
        <w:t xml:space="preserve">Tijekom 2022. godine je primljen predujam po navedenom projektu u iznosu 49.543,74 HRK, odnosno po konverzijskom tečaju </w:t>
      </w:r>
      <w:r w:rsidR="00E8382D">
        <w:t>65.637,23 EUR., a tijekom 2023. Završna isplata nakon podnesenog izvješća o provedenom projektu u iznosu 16.334,20 EUR.</w:t>
      </w:r>
    </w:p>
    <w:p w:rsidR="004145CF" w:rsidRPr="00C4035B" w:rsidRDefault="00E8382D" w:rsidP="009730D7">
      <w:pPr>
        <w:jc w:val="both"/>
        <w:rPr>
          <w:rFonts w:cstheme="minorHAnsi"/>
        </w:rPr>
      </w:pPr>
      <w:r>
        <w:t>U 2023. godini je po navedenom projektu utrošeno 41.958,07 EUR za</w:t>
      </w:r>
      <w:r w:rsidR="00A21756">
        <w:t xml:space="preserve">: </w:t>
      </w:r>
      <w:r>
        <w:t xml:space="preserve"> </w:t>
      </w:r>
      <w:r w:rsidR="00A21756">
        <w:t xml:space="preserve">40.486,07 EUR </w:t>
      </w:r>
      <w:r>
        <w:t>troškove provođenja mobilnosti</w:t>
      </w:r>
      <w:r w:rsidR="00A567D5">
        <w:t xml:space="preserve"> (prijevoz, smještaj, osiguranje, životni troškovi, dodatna sredstva za nabavu opreme za djecu slabijeg imovinskog stanja)</w:t>
      </w:r>
      <w:r>
        <w:t xml:space="preserve"> u Njemačkoj u trajanju tri tjedna,  </w:t>
      </w:r>
      <w:r w:rsidR="00A062E6" w:rsidRPr="00F74979">
        <w:rPr>
          <w:rFonts w:cstheme="minorHAnsi"/>
        </w:rPr>
        <w:t xml:space="preserve">od 18.2. do 11.3. 2023. </w:t>
      </w:r>
      <w:r w:rsidR="00A062E6">
        <w:rPr>
          <w:rFonts w:cstheme="minorHAnsi"/>
        </w:rPr>
        <w:t xml:space="preserve">Za </w:t>
      </w:r>
      <w:r w:rsidR="00A062E6" w:rsidRPr="00F74979">
        <w:rPr>
          <w:rFonts w:cstheme="minorHAnsi"/>
        </w:rPr>
        <w:t>14 učenika i 2 profesora</w:t>
      </w:r>
      <w:r w:rsidR="00A21756">
        <w:rPr>
          <w:rFonts w:cstheme="minorHAnsi"/>
        </w:rPr>
        <w:t xml:space="preserve"> u pratnji, </w:t>
      </w:r>
      <w:r w:rsidR="00A21756">
        <w:t xml:space="preserve">job </w:t>
      </w:r>
      <w:proofErr w:type="spellStart"/>
      <w:r w:rsidR="00A21756">
        <w:t>shadowinga</w:t>
      </w:r>
      <w:proofErr w:type="spellEnd"/>
      <w:r w:rsidR="00A21756">
        <w:t xml:space="preserve"> za djelatnicu  1472,00 EUR.</w:t>
      </w:r>
    </w:p>
    <w:p w:rsidR="004145CF" w:rsidRDefault="00D00246" w:rsidP="009730D7">
      <w:pPr>
        <w:jc w:val="both"/>
      </w:pPr>
      <w:r>
        <w:t xml:space="preserve">Škola je nositelj ERASMUS akreditacije u području strukovnog obrazovanja i osposobljavanja ( broj akreditacije: </w:t>
      </w:r>
      <w:r w:rsidRPr="00C4035B">
        <w:rPr>
          <w:b/>
        </w:rPr>
        <w:t>2022-1-HR01-KA120-VET-000105242</w:t>
      </w:r>
      <w:r>
        <w:t xml:space="preserve">) u periodu od 1.2.2023. do 31.12.2027. godine. </w:t>
      </w:r>
    </w:p>
    <w:p w:rsidR="00A567D5" w:rsidRDefault="00A567D5" w:rsidP="009730D7">
      <w:pPr>
        <w:jc w:val="both"/>
      </w:pPr>
      <w:r>
        <w:t xml:space="preserve">Kao nositelj akreditacije </w:t>
      </w:r>
      <w:r w:rsidR="00072853">
        <w:t xml:space="preserve">potpisan je novi Ugovor o dodjeli bespovratnih sredstava za program </w:t>
      </w:r>
      <w:proofErr w:type="spellStart"/>
      <w:r w:rsidR="00072853">
        <w:t>Erasmus</w:t>
      </w:r>
      <w:proofErr w:type="spellEnd"/>
      <w:r w:rsidR="00072853">
        <w:t xml:space="preserve">+ (broj ugovora </w:t>
      </w:r>
      <w:r w:rsidR="00072853" w:rsidRPr="00C4035B">
        <w:rPr>
          <w:b/>
        </w:rPr>
        <w:t>2023-1-HR01-KA121-VET-000115679</w:t>
      </w:r>
      <w:r w:rsidR="00072853">
        <w:t xml:space="preserve">) </w:t>
      </w:r>
      <w:r w:rsidR="004145CF">
        <w:t>ukupne vrijednosti 68.030,00 EUR u periodu od 1.6.2023. do 31.8.2024. godine.</w:t>
      </w:r>
      <w:r w:rsidR="00072853">
        <w:t xml:space="preserve"> U 2023. godini je primljen predujam od 54.424,00 EUR,a po završnom izvješću u 2024. će biti isplaćen ostatak.</w:t>
      </w:r>
    </w:p>
    <w:p w:rsidR="004145CF" w:rsidRDefault="004145CF" w:rsidP="009730D7">
      <w:pPr>
        <w:jc w:val="both"/>
      </w:pPr>
      <w:r>
        <w:t xml:space="preserve">U 2023. godini je prema navedenom projektu utrošeno ukupno </w:t>
      </w:r>
      <w:r w:rsidR="00A21756">
        <w:t xml:space="preserve">35.546,18 EUR i to na: </w:t>
      </w:r>
      <w:r w:rsidR="00C4035B">
        <w:t xml:space="preserve">30.900,08 EUR za </w:t>
      </w:r>
      <w:r w:rsidR="00A21756">
        <w:t>organizaciju</w:t>
      </w:r>
      <w:r w:rsidR="00C4035B">
        <w:t xml:space="preserve"> i provedbu mobilnosti u Španjolskoj za 13 učenika i 2 profesora u pratnji</w:t>
      </w:r>
      <w:r w:rsidR="00A21756">
        <w:t xml:space="preserve">, naknadu za voditeljicu projekta </w:t>
      </w:r>
      <w:r w:rsidR="00A21756" w:rsidRPr="00A21756">
        <w:t>2.979,55</w:t>
      </w:r>
      <w:r w:rsidR="00A21756">
        <w:t xml:space="preserve"> EUR, pripremni posjet za moguću daljnju suradnju u Španjolskoj 1150,00 EUR</w:t>
      </w:r>
      <w:r w:rsidR="00C4035B">
        <w:t xml:space="preserve"> za dvije djelatnice</w:t>
      </w:r>
      <w:r w:rsidR="00A21756">
        <w:t xml:space="preserve"> i organizaciju j i troškove službenog puta </w:t>
      </w:r>
      <w:r w:rsidR="00C4035B">
        <w:t>za potrebe stručnog usavršavanja za jednu djelatnicu</w:t>
      </w:r>
      <w:r w:rsidR="00A21756">
        <w:t xml:space="preserve"> u Velikoj Britaniji </w:t>
      </w:r>
      <w:r w:rsidR="00A21756" w:rsidRPr="00A21756">
        <w:t>516,55</w:t>
      </w:r>
      <w:r w:rsidR="00A21756">
        <w:t xml:space="preserve"> EUR.</w:t>
      </w:r>
    </w:p>
    <w:p w:rsidR="00C4035B" w:rsidRDefault="00C4035B" w:rsidP="009730D7">
      <w:pPr>
        <w:jc w:val="both"/>
      </w:pPr>
      <w:r>
        <w:t xml:space="preserve">Prema uputama Ministarstva financija </w:t>
      </w:r>
      <w:r w:rsidRPr="00C4035B">
        <w:t xml:space="preserve">načelo pojednostavljenih troškova primjenjuje se u programu </w:t>
      </w:r>
      <w:proofErr w:type="spellStart"/>
      <w:r w:rsidRPr="00C4035B">
        <w:t>Erasmus</w:t>
      </w:r>
      <w:proofErr w:type="spellEnd"/>
      <w:r w:rsidRPr="00C4035B">
        <w:t>+ koji provodi Agencija za mobilnost i programe Europske unije (dalje u tekstu: 12  Agencija za mobilnost), a koji je namijenjen (su)financiranju pr</w:t>
      </w:r>
      <w:r>
        <w:t>ojekata u području obrazovanja,</w:t>
      </w:r>
      <w:r w:rsidRPr="00C4035B">
        <w:t>osposobljavanja i sporta te projekata namijenjenih mladima.</w:t>
      </w:r>
      <w:r w:rsidR="0034749B">
        <w:t xml:space="preserve"> </w:t>
      </w:r>
      <w:r w:rsidRPr="00C4035B">
        <w:t xml:space="preserve">Kod projekata financiranih iz </w:t>
      </w:r>
      <w:proofErr w:type="spellStart"/>
      <w:r w:rsidRPr="00C4035B">
        <w:t>Erasmus</w:t>
      </w:r>
      <w:proofErr w:type="spellEnd"/>
      <w:r w:rsidRPr="00C4035B">
        <w:t xml:space="preserve">+ programa korisnik će u trenutku kada dobije sredstva imati prihod temeljem prijenosa EU sredstava, dok će rashod evidentirati prema prirodnoj vrsti troška u trenutku nastanka. U ovom slučaju nije potrebno dodatno izvještavanje korisnika o potrošenim sredstvima kako bi se evidentirao prihod od EU kod Agencije za mobilnost. Prilikom vrednovanja završnog izvješća ocjenjuje se kvaliteta provedenih aktivnosti te se u slučaju manjkave, djelomične ili zakašnjele provedbe korisniku umanjuje financijska potpora ovisno o dobivenoj ocjeni u određenom postotku na određene kategorije troškova ili na ukupan iznos ugovorenih sredstava, a ne temeljem računa. </w:t>
      </w:r>
    </w:p>
    <w:p w:rsidR="00A00879" w:rsidRDefault="00C4035B" w:rsidP="009730D7">
      <w:pPr>
        <w:jc w:val="both"/>
      </w:pPr>
      <w:r w:rsidRPr="00C4035B">
        <w:t xml:space="preserve"> Zbog toga što priznavanje prihoda od pomoći EU ili temeljem prijenosa EU sredstava ne ovisi o nastanku rashoda na projektu, moguća je situacija u kojoj škola u jednoj godini ostvari višak prihoda nad rashodima (na tom izvoru financiranja) uslijed primitka sredstava </w:t>
      </w:r>
      <w:proofErr w:type="spellStart"/>
      <w:r w:rsidRPr="00C4035B">
        <w:t>predfinanciranja</w:t>
      </w:r>
      <w:proofErr w:type="spellEnd"/>
      <w:r w:rsidRPr="00C4035B">
        <w:t xml:space="preserve"> od Agencije pred kraj godine, dok sama provedba projekta (a time i nastanak rashoda) počinju u sljedećoj godini. </w:t>
      </w:r>
      <w:r w:rsidRPr="00C4035B">
        <w:lastRenderedPageBreak/>
        <w:t>U toj godini (sljedećoj), škola će imati manjak prihoda nad rashodima (na tom izvoru financiranja), koji će se „pokriti“ prenesenim viškom iz prethodne godine.</w:t>
      </w:r>
    </w:p>
    <w:p w:rsidR="009730D7" w:rsidRDefault="009730D7" w:rsidP="009730D7">
      <w:pPr>
        <w:jc w:val="both"/>
      </w:pPr>
    </w:p>
    <w:p w:rsidR="00A00879" w:rsidRDefault="00A00879" w:rsidP="009730D7">
      <w:pPr>
        <w:jc w:val="both"/>
        <w:rPr>
          <w:b/>
        </w:rPr>
      </w:pPr>
      <w:r w:rsidRPr="00A00879">
        <w:rPr>
          <w:b/>
        </w:rPr>
        <w:t>PRILOG 2: IZVJEŠTAJ O STANJU POTRAŽIVANJA I DOSPJELIH OBVEZA TE O STANJU POTENCIJALNIH OBVEZA PO OSNOVI SUDSKIH SPOROVA</w:t>
      </w:r>
    </w:p>
    <w:p w:rsidR="001E29B4" w:rsidRPr="00BB5B75" w:rsidRDefault="001E29B4" w:rsidP="009730D7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BB5B75">
        <w:rPr>
          <w:rFonts w:ascii="Times New Roman" w:hAnsi="Times New Roman"/>
          <w:sz w:val="24"/>
          <w:szCs w:val="24"/>
        </w:rPr>
        <w:t xml:space="preserve">Stanje dospjelih obveza na kraju </w:t>
      </w:r>
      <w:r>
        <w:rPr>
          <w:rFonts w:ascii="Times New Roman" w:hAnsi="Times New Roman"/>
          <w:sz w:val="24"/>
          <w:szCs w:val="24"/>
        </w:rPr>
        <w:t>2023. godine</w:t>
      </w:r>
      <w:r w:rsidRPr="00BB5B75">
        <w:rPr>
          <w:rFonts w:ascii="Times New Roman" w:hAnsi="Times New Roman"/>
          <w:sz w:val="24"/>
          <w:szCs w:val="24"/>
        </w:rPr>
        <w:t xml:space="preserve"> iznosi 0,00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BB5B75">
        <w:rPr>
          <w:rFonts w:ascii="Times New Roman" w:hAnsi="Times New Roman"/>
          <w:sz w:val="24"/>
          <w:szCs w:val="24"/>
        </w:rPr>
        <w:t>.</w:t>
      </w:r>
    </w:p>
    <w:p w:rsidR="00A00879" w:rsidRDefault="00A00879" w:rsidP="00594095">
      <w:pPr>
        <w:spacing w:after="0"/>
        <w:jc w:val="both"/>
      </w:pPr>
    </w:p>
    <w:p w:rsidR="001E29B4" w:rsidRDefault="001E29B4" w:rsidP="009730D7">
      <w:pPr>
        <w:jc w:val="both"/>
      </w:pPr>
      <w:r>
        <w:t xml:space="preserve">Stanje potraživanja na datum 31.12.2023. godine je </w:t>
      </w:r>
      <w:r w:rsidR="00353A7D">
        <w:t xml:space="preserve">39.146,93 EUR: </w:t>
      </w:r>
    </w:p>
    <w:p w:rsidR="001E29B4" w:rsidRDefault="001E29B4" w:rsidP="009730D7">
      <w:pPr>
        <w:pStyle w:val="Odlomakpopisa"/>
        <w:numPr>
          <w:ilvl w:val="0"/>
          <w:numId w:val="1"/>
        </w:numPr>
        <w:jc w:val="both"/>
      </w:pPr>
      <w:r>
        <w:t>123 Potraživanja od zaposlenih 216,00 EUR – odnosi se na greškom duplo isplaćene naknade troškova na službenom putovanju iz vlastitih sredstava (izvor 03) za pet djelatnika, te će se u 2024. Izvršiti povrat od strane djelatnika.</w:t>
      </w:r>
    </w:p>
    <w:p w:rsidR="001E29B4" w:rsidRDefault="001E29B4" w:rsidP="009730D7">
      <w:pPr>
        <w:pStyle w:val="Odlomakpopisa"/>
        <w:numPr>
          <w:ilvl w:val="0"/>
          <w:numId w:val="1"/>
        </w:numPr>
        <w:jc w:val="both"/>
      </w:pPr>
      <w:r>
        <w:t xml:space="preserve">124 Potraživanja za više paćenje poreze i doprinose 241,30 EUR – odnosi se na više plaćene poreze i doprinose koje Škola potražuje preko sustava </w:t>
      </w:r>
      <w:proofErr w:type="spellStart"/>
      <w:r>
        <w:t>ePorezne</w:t>
      </w:r>
      <w:proofErr w:type="spellEnd"/>
      <w:r>
        <w:t xml:space="preserve"> nakon ispravka obračunate plaće za jednu djelatnicu te će se nakon povrata na račun Škole sredstva vratiti u državni proračun.</w:t>
      </w:r>
    </w:p>
    <w:p w:rsidR="001E29B4" w:rsidRDefault="001E29B4" w:rsidP="009730D7">
      <w:pPr>
        <w:pStyle w:val="Odlomakpopisa"/>
        <w:numPr>
          <w:ilvl w:val="0"/>
          <w:numId w:val="1"/>
        </w:numPr>
        <w:jc w:val="both"/>
      </w:pPr>
      <w:r>
        <w:t>129 Ostala potraživanja 7.359,97 EUR – se odnose na potraživanje prema HZZO-u za refundaciju isplaćenih bolovanja na teret HZZO-a, sredstva će se vratiti u državni proračun.</w:t>
      </w:r>
    </w:p>
    <w:p w:rsidR="001E29B4" w:rsidRDefault="001E29B4" w:rsidP="009730D7">
      <w:pPr>
        <w:pStyle w:val="Odlomakpopisa"/>
        <w:numPr>
          <w:ilvl w:val="0"/>
          <w:numId w:val="1"/>
        </w:numPr>
        <w:jc w:val="both"/>
      </w:pPr>
      <w:r>
        <w:t>166 Potraživanja za prihode od prodaje proizvoda i usluga 246,55 EUR - se odnose na račune za najam</w:t>
      </w:r>
      <w:r w:rsidR="00353A7D">
        <w:t xml:space="preserve"> prostora Škole za prosinac 2023.</w:t>
      </w:r>
    </w:p>
    <w:p w:rsidR="00353A7D" w:rsidRDefault="00353A7D" w:rsidP="009730D7">
      <w:pPr>
        <w:pStyle w:val="Odlomakpopisa"/>
        <w:numPr>
          <w:ilvl w:val="0"/>
          <w:numId w:val="1"/>
        </w:numPr>
        <w:jc w:val="both"/>
      </w:pPr>
      <w:r>
        <w:t>167 Potraživanja proračunskih korisnika za sredstva uplaćena u proračun 30.909,68 EUR – se odnose na sredstva koja je Škola ostvarila prodajom stana u vlasništvu Škole te su uplaćena na žiro-račun Osnivača te će se koristiti za daljnju realizaciju projekta uređenja prostora Škole.</w:t>
      </w:r>
    </w:p>
    <w:p w:rsidR="00353A7D" w:rsidRDefault="00353A7D" w:rsidP="009730D7">
      <w:pPr>
        <w:pStyle w:val="Odlomakpopisa"/>
        <w:numPr>
          <w:ilvl w:val="0"/>
          <w:numId w:val="1"/>
        </w:numPr>
        <w:jc w:val="both"/>
      </w:pPr>
      <w:r>
        <w:t>172 – Stambeni objekti  173,43 EUR – odnose se na potraživanja za 35% vrijednosti stana u otkupu koji je bio u vlasništvu Škole, posrednik Inkasator vrši kontrolu naplate i direktno vrši isplatu 65% prihoda u državni proračun, a 35% na račun Škole.</w:t>
      </w:r>
    </w:p>
    <w:p w:rsidR="008909AD" w:rsidRDefault="008909AD" w:rsidP="009730D7">
      <w:pPr>
        <w:pStyle w:val="Odlomakpopisa"/>
        <w:jc w:val="both"/>
      </w:pPr>
    </w:p>
    <w:p w:rsidR="00353A7D" w:rsidRDefault="00353A7D" w:rsidP="009730D7">
      <w:pPr>
        <w:jc w:val="both"/>
      </w:pPr>
      <w:r>
        <w:t xml:space="preserve">Stanje potencijalnih obveza </w:t>
      </w:r>
      <w:r w:rsidR="008909AD">
        <w:t xml:space="preserve">po sudskim sporovima na dan 31.12.2023. je 874,73 EUR i odnosi se na još dvije preostale neriješene tužbe za isplatu razlike plaće od 6% zbog ne povećanja osnovice za isplatu plaće. Očekuje se pravomoćnost i isplata po sudskim presudama unutar tri mjeseca. Specifikacija u privitku. </w:t>
      </w:r>
    </w:p>
    <w:p w:rsidR="00594095" w:rsidRDefault="00594095" w:rsidP="009730D7">
      <w:pPr>
        <w:jc w:val="both"/>
      </w:pPr>
    </w:p>
    <w:p w:rsidR="00353A7D" w:rsidRDefault="00353A7D" w:rsidP="009730D7">
      <w:pPr>
        <w:jc w:val="both"/>
      </w:pPr>
      <w:r>
        <w:rPr>
          <w:noProof/>
          <w:szCs w:val="24"/>
          <w:lang w:eastAsia="hr-HR"/>
        </w:rPr>
        <w:drawing>
          <wp:inline distT="0" distB="0" distL="0" distR="0">
            <wp:extent cx="5760720" cy="15900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D7" w:rsidRDefault="009730D7" w:rsidP="009730D7">
      <w:pPr>
        <w:jc w:val="both"/>
        <w:rPr>
          <w:b/>
        </w:rPr>
      </w:pPr>
    </w:p>
    <w:p w:rsidR="00C11C42" w:rsidRDefault="008909AD" w:rsidP="009730D7">
      <w:pPr>
        <w:jc w:val="both"/>
        <w:rPr>
          <w:b/>
        </w:rPr>
      </w:pPr>
      <w:r w:rsidRPr="00A00879">
        <w:rPr>
          <w:b/>
        </w:rPr>
        <w:lastRenderedPageBreak/>
        <w:t>PRIL</w:t>
      </w:r>
      <w:r>
        <w:rPr>
          <w:b/>
        </w:rPr>
        <w:t>OG 3</w:t>
      </w:r>
      <w:r w:rsidRPr="00A00879">
        <w:rPr>
          <w:b/>
        </w:rPr>
        <w:t xml:space="preserve">: IZVJEŠTAJ O </w:t>
      </w:r>
      <w:r>
        <w:rPr>
          <w:b/>
        </w:rPr>
        <w:t>DANIM JAMSTVIMA I PLAĆANJIMA PROTESTIRANIM JAMSTVIMA</w:t>
      </w:r>
    </w:p>
    <w:p w:rsidR="00594095" w:rsidRPr="00C11C42" w:rsidRDefault="00594095" w:rsidP="009730D7">
      <w:pPr>
        <w:jc w:val="both"/>
        <w:rPr>
          <w:b/>
        </w:rPr>
      </w:pPr>
    </w:p>
    <w:p w:rsidR="00C11C42" w:rsidRPr="00C11C42" w:rsidRDefault="00C11C42" w:rsidP="009730D7">
      <w:pPr>
        <w:jc w:val="both"/>
      </w:pPr>
      <w:r>
        <w:t>Škola ima jednu izdanu zadužnicu kao instrument osiguranja plaćanja. Specifikacija u nastavku.</w:t>
      </w:r>
    </w:p>
    <w:p w:rsidR="001E1CB4" w:rsidRDefault="00C11C42" w:rsidP="009730D7">
      <w:pPr>
        <w:jc w:val="both"/>
      </w:pPr>
      <w:r w:rsidRPr="00C11C42">
        <w:rPr>
          <w:noProof/>
          <w:lang w:eastAsia="hr-HR"/>
        </w:rPr>
        <w:drawing>
          <wp:inline distT="0" distB="0" distL="0" distR="0">
            <wp:extent cx="5760720" cy="1553232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B4" w:rsidRDefault="001E1CB4" w:rsidP="001E1CB4">
      <w:pPr>
        <w:jc w:val="both"/>
        <w:rPr>
          <w:b/>
        </w:rPr>
      </w:pPr>
    </w:p>
    <w:p w:rsidR="001E1CB4" w:rsidRDefault="001E1CB4" w:rsidP="00594095">
      <w:pPr>
        <w:spacing w:after="0"/>
        <w:jc w:val="both"/>
        <w:rPr>
          <w:b/>
        </w:rPr>
      </w:pPr>
      <w:r w:rsidRPr="001E1CB4">
        <w:rPr>
          <w:b/>
        </w:rPr>
        <w:t>PRILOG 4: GODIŠNJI IZVJEŠTAJ O PROVEDBI V</w:t>
      </w:r>
      <w:r>
        <w:rPr>
          <w:b/>
        </w:rPr>
        <w:t>IŠEGODIŠNJEG PLANA URAVNOTEŽENJA</w:t>
      </w:r>
    </w:p>
    <w:p w:rsidR="00594095" w:rsidRDefault="00594095" w:rsidP="00594095">
      <w:pPr>
        <w:spacing w:after="0"/>
        <w:jc w:val="both"/>
        <w:rPr>
          <w:b/>
        </w:rPr>
      </w:pPr>
    </w:p>
    <w:p w:rsidR="005331C9" w:rsidRDefault="005331C9" w:rsidP="005331C9">
      <w:pPr>
        <w:jc w:val="both"/>
      </w:pPr>
      <w:r>
        <w:t xml:space="preserve">Prema Višegodišnjem </w:t>
      </w:r>
      <w:r w:rsidRPr="005331C9">
        <w:t>plan</w:t>
      </w:r>
      <w:r>
        <w:t>u</w:t>
      </w:r>
      <w:r w:rsidRPr="005331C9">
        <w:t xml:space="preserve"> uravnoteženja financijskog plana proračunskog korisnika jedinice lokalne i područne (regionalne</w:t>
      </w:r>
      <w:r>
        <w:t>) samouprave (k</w:t>
      </w:r>
      <w:r w:rsidRPr="00A7016C">
        <w:t>lasa: 400-07/22-01/18</w:t>
      </w:r>
      <w:r>
        <w:t xml:space="preserve">, </w:t>
      </w:r>
      <w:proofErr w:type="spellStart"/>
      <w:r>
        <w:t>u</w:t>
      </w:r>
      <w:r w:rsidRPr="00A7016C">
        <w:t>rbroj</w:t>
      </w:r>
      <w:proofErr w:type="spellEnd"/>
      <w:r w:rsidRPr="00A7016C">
        <w:t>: 2133-48-01-22-01</w:t>
      </w:r>
      <w:r>
        <w:t xml:space="preserve"> od</w:t>
      </w:r>
      <w:r w:rsidRPr="00A7016C">
        <w:t xml:space="preserve"> 22.9.2022.</w:t>
      </w:r>
      <w:r>
        <w:t xml:space="preserve">) višak od nefinancijske imovine </w:t>
      </w:r>
      <w:r w:rsidRPr="00A7016C">
        <w:t>u iznosu od 385.813,92 HRK, odnosno 51.206,31 EUR (prema fiksnom tečaju 1EUR=7,53450 HRK) se prenosi iz prethodnih godina</w:t>
      </w:r>
      <w:r>
        <w:t xml:space="preserve"> i planira u proračunu Mješovite</w:t>
      </w:r>
      <w:r w:rsidRPr="00A7016C">
        <w:t xml:space="preserve"> industrijsko-obrtničke škole za 2023, godinu i projekcijama za 2024. </w:t>
      </w:r>
      <w:r w:rsidR="00594095">
        <w:t>g</w:t>
      </w:r>
      <w:r>
        <w:t xml:space="preserve">odinu na sljedeći način: </w:t>
      </w:r>
      <w:r w:rsidRPr="00A7016C">
        <w:t xml:space="preserve"> </w:t>
      </w:r>
      <w:r w:rsidRPr="005331C9">
        <w:t xml:space="preserve">u 2023. 13.272,00 EUR </w:t>
      </w:r>
      <w:r w:rsidR="00C9452B">
        <w:t xml:space="preserve">za sufinanciranje vlastitog udjela (uz </w:t>
      </w:r>
      <w:r w:rsidR="00C9452B" w:rsidRPr="00367C75">
        <w:rPr>
          <w:rFonts w:ascii="Times New Roman" w:hAnsi="Times New Roman" w:cs="Times New Roman"/>
          <w:color w:val="000000" w:themeColor="text1"/>
          <w:sz w:val="24"/>
          <w:szCs w:val="24"/>
        </w:rPr>
        <w:t>30.952,63</w:t>
      </w:r>
      <w:r w:rsidR="00C94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viška prodaje nefinancijske imovine od prodaje stana koji je bio u vlasništvu Škole) </w:t>
      </w:r>
      <w:r w:rsidRPr="005331C9">
        <w:t xml:space="preserve">i 2024. godinu 37.934,00 EUR za potrebe ulaganja </w:t>
      </w:r>
      <w:r w:rsidR="00C9452B">
        <w:t xml:space="preserve">(opremanja prostora) </w:t>
      </w:r>
      <w:r w:rsidRPr="005331C9">
        <w:t>u nefinancijsku imovinu.</w:t>
      </w:r>
    </w:p>
    <w:p w:rsidR="001E1CB4" w:rsidRDefault="001E1CB4" w:rsidP="001E1CB4">
      <w:pPr>
        <w:suppressAutoHyphens/>
        <w:autoSpaceDE w:val="0"/>
        <w:snapToGrid w:val="0"/>
        <w:jc w:val="both"/>
      </w:pPr>
      <w:r w:rsidRPr="00A7016C">
        <w:t xml:space="preserve">Obzirom da su sredstva bila planirana za ulaganje u projektnu dokumentaciju za uređenje dijela zgrade koji još čeka uređenje i </w:t>
      </w:r>
      <w:r w:rsidRPr="00A7016C">
        <w:rPr>
          <w:rFonts w:eastAsia="Calibri"/>
          <w:bCs/>
          <w:lang w:eastAsia="ar-SA"/>
        </w:rPr>
        <w:t>zbog toga što je škola aplicirala na Poziv Ministarstva regionalnog razvoja i fondova Europske unije za dodjelu bespovratnih sredstava za pripremu projektno-tehničke dokumentacije za projekte u području digitalne transformacije i zelene tranzicije, naziv projekta: Izgradnja nove energetski učinkovite zgrade za strukovno obrazovanje - dogradnja i rekonstrukcija Mješovite industrijsko-obrtničke škole, Karlovac te se planirana sredstva namjeravaju utrošiti za tu svrhu ako Škola dobije sredstva za navedeni projekt kao udio vlastitog fin</w:t>
      </w:r>
      <w:r w:rsidR="00594095">
        <w:rPr>
          <w:rFonts w:eastAsia="Calibri"/>
          <w:bCs/>
          <w:lang w:eastAsia="ar-SA"/>
        </w:rPr>
        <w:t xml:space="preserve">anciranja. </w:t>
      </w:r>
      <w:r w:rsidRPr="00A7016C">
        <w:rPr>
          <w:rFonts w:eastAsia="Calibri"/>
          <w:bCs/>
          <w:lang w:eastAsia="ar-SA"/>
        </w:rPr>
        <w:t>Škola se javila na n</w:t>
      </w:r>
      <w:r w:rsidR="00594095">
        <w:rPr>
          <w:rFonts w:eastAsia="Calibri"/>
          <w:bCs/>
          <w:lang w:eastAsia="ar-SA"/>
        </w:rPr>
        <w:t xml:space="preserve">avedeni poziv 25.2.2022. godine. Do trenutka izrade prijedloga financijskog plana za razdoblje 2023.-2025. i Višegodišnjeg plana </w:t>
      </w:r>
      <w:r w:rsidR="00594095" w:rsidRPr="005331C9">
        <w:t>uravnoteženja financijskog plana proračunskog korisnika jedinice lokalne i područne (regionalne</w:t>
      </w:r>
      <w:r w:rsidR="00594095">
        <w:t>) samouprave nisu bili poznati rezultati Poziva.</w:t>
      </w:r>
    </w:p>
    <w:p w:rsidR="00594095" w:rsidRDefault="00594095" w:rsidP="001E1CB4">
      <w:pPr>
        <w:suppressAutoHyphens/>
        <w:autoSpaceDE w:val="0"/>
        <w:snapToGrid w:val="0"/>
        <w:jc w:val="both"/>
      </w:pPr>
      <w:r>
        <w:t>U rujnu 2023. godine Škola dobiva Rezultate postupka dodjela bespovratnih sredstava u okviru Poziva za dodjelu bespovratnih sredstava „</w:t>
      </w:r>
      <w:r>
        <w:rPr>
          <w:rFonts w:eastAsia="Calibri"/>
          <w:bCs/>
          <w:lang w:eastAsia="ar-SA"/>
        </w:rPr>
        <w:t>P</w:t>
      </w:r>
      <w:r w:rsidRPr="00A7016C">
        <w:rPr>
          <w:rFonts w:eastAsia="Calibri"/>
          <w:bCs/>
          <w:lang w:eastAsia="ar-SA"/>
        </w:rPr>
        <w:t>riprem</w:t>
      </w:r>
      <w:r>
        <w:rPr>
          <w:rFonts w:eastAsia="Calibri"/>
          <w:bCs/>
          <w:lang w:eastAsia="ar-SA"/>
        </w:rPr>
        <w:t>a</w:t>
      </w:r>
      <w:r w:rsidRPr="00A7016C">
        <w:rPr>
          <w:rFonts w:eastAsia="Calibri"/>
          <w:bCs/>
          <w:lang w:eastAsia="ar-SA"/>
        </w:rPr>
        <w:t xml:space="preserve"> projektno-tehničke dokumentacije za projekte u području digitalne transformacije i zelene tranzicije</w:t>
      </w:r>
      <w:r>
        <w:rPr>
          <w:rFonts w:eastAsia="Calibri"/>
          <w:bCs/>
          <w:lang w:eastAsia="ar-SA"/>
        </w:rPr>
        <w:t xml:space="preserve">“, referentni broj Poziva C2.1R2.I1.01. Projektni prijedlog Škole nije odabran za financiranje u okviru </w:t>
      </w:r>
      <w:r>
        <w:t>Poziva za dodjelu bespovratnih sredstava obzirom da su sukladno prioritetima Poziva sva dostupna sredstva za pojedino područje dodijeljena te više nema dostupnih sredstava.</w:t>
      </w:r>
    </w:p>
    <w:p w:rsidR="00CD4104" w:rsidRDefault="00C9452B" w:rsidP="001E1CB4">
      <w:pPr>
        <w:suppressAutoHyphens/>
        <w:autoSpaceDE w:val="0"/>
        <w:snapToGrid w:val="0"/>
        <w:jc w:val="both"/>
      </w:pPr>
      <w:r>
        <w:t>Obzirom na novonastale okolnosti tijekom 2023. godine nije realizira</w:t>
      </w:r>
      <w:r w:rsidR="009B149E">
        <w:t xml:space="preserve">n  dio financijskog plana u vezi izrade projektne dokumentacije niti daljnjeg napredovanja projekta uređenja prostora Škole. Nisu utrošeni iznosi planirani za 2023. godinu te se kod izrade prijedloga financijskog plana za 2024. – </w:t>
      </w:r>
      <w:r w:rsidR="009B149E">
        <w:lastRenderedPageBreak/>
        <w:t xml:space="preserve">2026. godinu  u skladu s novim planovima za nastavak projekta uređenja prostora Škole u dogovoru sa Osnivačem pristupilo izradi novog plana aktivnosti i u skladu s time donošenju novog Višegodišnjeg </w:t>
      </w:r>
      <w:r w:rsidR="009B149E" w:rsidRPr="005331C9">
        <w:t>plan</w:t>
      </w:r>
      <w:r w:rsidR="009B149E">
        <w:t>a</w:t>
      </w:r>
      <w:r w:rsidR="009B149E" w:rsidRPr="005331C9">
        <w:t xml:space="preserve"> uravnoteženja financijskog plana proračunskog korisnika jedinice lokalne i područne (regionalne</w:t>
      </w:r>
      <w:r w:rsidR="009B149E">
        <w:t>) samouprave.</w:t>
      </w:r>
    </w:p>
    <w:p w:rsidR="00CD4104" w:rsidRPr="005E214F" w:rsidRDefault="00CD4104" w:rsidP="00CD41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214F">
        <w:rPr>
          <w:rFonts w:ascii="Times New Roman" w:hAnsi="Times New Roman" w:cs="Times New Roman"/>
          <w:sz w:val="20"/>
          <w:szCs w:val="20"/>
        </w:rPr>
        <w:t>Klasa: 400-04/24-01/</w:t>
      </w:r>
    </w:p>
    <w:p w:rsidR="00CD4104" w:rsidRPr="005E214F" w:rsidRDefault="00CD4104" w:rsidP="00CD410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E214F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5E214F">
        <w:rPr>
          <w:rFonts w:ascii="Times New Roman" w:hAnsi="Times New Roman" w:cs="Times New Roman"/>
          <w:sz w:val="20"/>
          <w:szCs w:val="20"/>
        </w:rPr>
        <w:t>: 2133-48-01-24-01</w:t>
      </w:r>
    </w:p>
    <w:p w:rsidR="00CD4104" w:rsidRPr="005E214F" w:rsidRDefault="00CD4104" w:rsidP="00CD41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214F">
        <w:rPr>
          <w:rFonts w:ascii="Times New Roman" w:hAnsi="Times New Roman" w:cs="Times New Roman"/>
          <w:sz w:val="20"/>
          <w:szCs w:val="20"/>
        </w:rPr>
        <w:t>Karlovac, 5.3.2024.</w:t>
      </w:r>
    </w:p>
    <w:p w:rsidR="00CD4104" w:rsidRPr="005E214F" w:rsidRDefault="00CD4104" w:rsidP="00CD4104">
      <w:pPr>
        <w:spacing w:after="0" w:line="240" w:lineRule="auto"/>
        <w:rPr>
          <w:rFonts w:cstheme="minorHAnsi"/>
        </w:rPr>
      </w:pPr>
    </w:p>
    <w:p w:rsidR="00CD4104" w:rsidRPr="005E214F" w:rsidRDefault="00CD4104" w:rsidP="00CD4104">
      <w:pPr>
        <w:spacing w:after="0" w:line="240" w:lineRule="auto"/>
        <w:jc w:val="both"/>
        <w:rPr>
          <w:rFonts w:cstheme="minorHAnsi"/>
        </w:rPr>
      </w:pPr>
      <w:r w:rsidRPr="005E214F">
        <w:rPr>
          <w:rFonts w:cstheme="minorHAnsi"/>
        </w:rPr>
        <w:t>Predsjednica Školskog odbora</w:t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proofErr w:type="spellStart"/>
      <w:r w:rsidRPr="005E214F">
        <w:rPr>
          <w:rFonts w:cstheme="minorHAnsi"/>
        </w:rPr>
        <w:t>M.P</w:t>
      </w:r>
      <w:proofErr w:type="spellEnd"/>
      <w:r w:rsidRPr="005E214F">
        <w:rPr>
          <w:rFonts w:cstheme="minorHAnsi"/>
        </w:rPr>
        <w:t>.</w:t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  <w:t>ravnateljica</w:t>
      </w:r>
    </w:p>
    <w:p w:rsidR="00CD4104" w:rsidRPr="005E214F" w:rsidRDefault="00CD4104" w:rsidP="00CD4104">
      <w:pPr>
        <w:spacing w:after="0" w:line="240" w:lineRule="auto"/>
        <w:jc w:val="both"/>
        <w:rPr>
          <w:rFonts w:cstheme="minorHAnsi"/>
        </w:rPr>
      </w:pPr>
      <w:proofErr w:type="spellStart"/>
      <w:r w:rsidRPr="005E214F">
        <w:rPr>
          <w:rFonts w:cstheme="minorHAnsi"/>
        </w:rPr>
        <w:t>Kristinka</w:t>
      </w:r>
      <w:proofErr w:type="spellEnd"/>
      <w:r w:rsidRPr="005E214F">
        <w:rPr>
          <w:rFonts w:cstheme="minorHAnsi"/>
        </w:rPr>
        <w:t xml:space="preserve"> Jurčević</w:t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  <w:t>Snježana Erdeljac</w:t>
      </w:r>
    </w:p>
    <w:p w:rsidR="00CD4104" w:rsidRPr="005E214F" w:rsidRDefault="00CD4104" w:rsidP="00CD4104">
      <w:pPr>
        <w:spacing w:after="0" w:line="240" w:lineRule="auto"/>
        <w:jc w:val="both"/>
        <w:rPr>
          <w:rFonts w:cstheme="minorHAnsi"/>
        </w:rPr>
      </w:pPr>
    </w:p>
    <w:p w:rsidR="00CD4104" w:rsidRDefault="00CD4104" w:rsidP="00CD4104">
      <w:pPr>
        <w:suppressAutoHyphens/>
        <w:autoSpaceDE w:val="0"/>
        <w:snapToGrid w:val="0"/>
        <w:jc w:val="both"/>
      </w:pPr>
      <w:r w:rsidRPr="005E214F">
        <w:rPr>
          <w:rFonts w:cstheme="minorHAnsi"/>
        </w:rPr>
        <w:t>____________________</w:t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</w:r>
      <w:r w:rsidRPr="005E214F">
        <w:rPr>
          <w:rFonts w:cstheme="minorHAnsi"/>
        </w:rPr>
        <w:tab/>
        <w:t>___________________</w:t>
      </w:r>
    </w:p>
    <w:p w:rsidR="008E0D90" w:rsidRPr="00A7016C" w:rsidRDefault="008E0D90" w:rsidP="001E1CB4">
      <w:pPr>
        <w:suppressAutoHyphens/>
        <w:autoSpaceDE w:val="0"/>
        <w:snapToGrid w:val="0"/>
        <w:jc w:val="both"/>
        <w:rPr>
          <w:rFonts w:eastAsia="Calibri"/>
          <w:bCs/>
          <w:lang w:eastAsia="ar-SA"/>
        </w:rPr>
      </w:pPr>
    </w:p>
    <w:p w:rsidR="001E1CB4" w:rsidRPr="00A7016C" w:rsidRDefault="001E1CB4" w:rsidP="001E1CB4">
      <w:pPr>
        <w:suppressAutoHyphens/>
        <w:autoSpaceDE w:val="0"/>
        <w:snapToGrid w:val="0"/>
        <w:jc w:val="both"/>
        <w:rPr>
          <w:rFonts w:eastAsia="Calibri"/>
          <w:bCs/>
          <w:lang w:eastAsia="ar-SA"/>
        </w:rPr>
      </w:pPr>
    </w:p>
    <w:sectPr w:rsidR="001E1CB4" w:rsidRPr="00A7016C" w:rsidSect="009730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022"/>
    <w:multiLevelType w:val="hybridMultilevel"/>
    <w:tmpl w:val="7108B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879"/>
    <w:rsid w:val="00072853"/>
    <w:rsid w:val="001148DC"/>
    <w:rsid w:val="001E1CB4"/>
    <w:rsid w:val="001E29B4"/>
    <w:rsid w:val="002C6330"/>
    <w:rsid w:val="0034749B"/>
    <w:rsid w:val="00353A7D"/>
    <w:rsid w:val="004145CF"/>
    <w:rsid w:val="005331C9"/>
    <w:rsid w:val="00594095"/>
    <w:rsid w:val="007111B8"/>
    <w:rsid w:val="0086366E"/>
    <w:rsid w:val="008909AD"/>
    <w:rsid w:val="008E0D90"/>
    <w:rsid w:val="009730D7"/>
    <w:rsid w:val="009B149E"/>
    <w:rsid w:val="00A00879"/>
    <w:rsid w:val="00A062E6"/>
    <w:rsid w:val="00A21756"/>
    <w:rsid w:val="00A567D5"/>
    <w:rsid w:val="00A80850"/>
    <w:rsid w:val="00C11C42"/>
    <w:rsid w:val="00C4035B"/>
    <w:rsid w:val="00C844E7"/>
    <w:rsid w:val="00C9452B"/>
    <w:rsid w:val="00CD4104"/>
    <w:rsid w:val="00D00246"/>
    <w:rsid w:val="00E8382D"/>
    <w:rsid w:val="00EC3B7B"/>
    <w:rsid w:val="00F6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A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DAEA-CC62-4822-81E4-DCEE9863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12</cp:revision>
  <dcterms:created xsi:type="dcterms:W3CDTF">2024-02-23T10:49:00Z</dcterms:created>
  <dcterms:modified xsi:type="dcterms:W3CDTF">2024-03-05T11:51:00Z</dcterms:modified>
</cp:coreProperties>
</file>