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D1C5" w14:textId="77777777" w:rsidR="00BE1BF3" w:rsidRPr="00F74979" w:rsidRDefault="00BE1BF3" w:rsidP="00BE1B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4979">
        <w:rPr>
          <w:rFonts w:ascii="Times New Roman" w:hAnsi="Times New Roman" w:cs="Times New Roman"/>
          <w:b/>
          <w:sz w:val="20"/>
          <w:szCs w:val="20"/>
        </w:rPr>
        <w:t xml:space="preserve">Na temelju članka 37. Statuta Mješovite industrijsko-obrtnička škole Školski odbor na </w:t>
      </w:r>
    </w:p>
    <w:p w14:paraId="5BF120B9" w14:textId="77777777" w:rsidR="00BE1BF3" w:rsidRPr="00F74979" w:rsidRDefault="00BE1BF3" w:rsidP="00BE1B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4979">
        <w:rPr>
          <w:rFonts w:ascii="Times New Roman" w:hAnsi="Times New Roman" w:cs="Times New Roman"/>
          <w:b/>
          <w:sz w:val="20"/>
          <w:szCs w:val="20"/>
        </w:rPr>
        <w:t xml:space="preserve">sjednici </w:t>
      </w:r>
      <w:r w:rsidR="004C1DD3" w:rsidRPr="00F74979">
        <w:rPr>
          <w:rFonts w:ascii="Times New Roman" w:hAnsi="Times New Roman" w:cs="Times New Roman"/>
          <w:b/>
          <w:sz w:val="20"/>
          <w:szCs w:val="20"/>
        </w:rPr>
        <w:t>19.7.2023</w:t>
      </w:r>
      <w:r w:rsidRPr="00F74979">
        <w:rPr>
          <w:rFonts w:ascii="Times New Roman" w:hAnsi="Times New Roman" w:cs="Times New Roman"/>
          <w:b/>
          <w:sz w:val="20"/>
          <w:szCs w:val="20"/>
        </w:rPr>
        <w:t>. godine usvaja obrazloženje polugodišnjeg izvršenja financijskog plana za 2023. godinu:</w:t>
      </w:r>
    </w:p>
    <w:p w14:paraId="4C812EDA" w14:textId="77777777" w:rsidR="00861373" w:rsidRPr="00F74979" w:rsidRDefault="00861373" w:rsidP="00861373">
      <w:pPr>
        <w:spacing w:after="0"/>
        <w:rPr>
          <w:rFonts w:ascii="Arial" w:hAnsi="Arial" w:cs="Arial"/>
          <w:b/>
          <w:highlight w:val="yellow"/>
        </w:rPr>
      </w:pPr>
    </w:p>
    <w:p w14:paraId="12EF2C47" w14:textId="77777777" w:rsidR="0072784F" w:rsidRPr="00F74979" w:rsidRDefault="00C04A06" w:rsidP="00FD7999">
      <w:pPr>
        <w:pBdr>
          <w:bottom w:val="double" w:sz="4" w:space="1" w:color="auto"/>
        </w:pBdr>
        <w:spacing w:after="0" w:line="240" w:lineRule="auto"/>
        <w:rPr>
          <w:rFonts w:ascii="Arial" w:hAnsi="Arial" w:cs="Arial"/>
          <w:b/>
        </w:rPr>
      </w:pPr>
      <w:r w:rsidRPr="00F74979">
        <w:rPr>
          <w:rFonts w:ascii="Arial" w:hAnsi="Arial" w:cs="Arial"/>
          <w:b/>
        </w:rPr>
        <w:t xml:space="preserve">OBRAZLOŽENJE POLUGODIŠNJEG IZVJEŠTAJA O IZVRŠENJU </w:t>
      </w:r>
      <w:r w:rsidR="00E96B86" w:rsidRPr="00F74979">
        <w:rPr>
          <w:rFonts w:ascii="Arial" w:hAnsi="Arial" w:cs="Arial"/>
          <w:b/>
        </w:rPr>
        <w:t xml:space="preserve">FINANCIJSKOG PLANA </w:t>
      </w:r>
      <w:r w:rsidR="0028607F" w:rsidRPr="00F74979">
        <w:rPr>
          <w:rFonts w:ascii="Arial" w:hAnsi="Arial" w:cs="Arial"/>
          <w:b/>
        </w:rPr>
        <w:t>PRORAČUNSKOG KORISNIKA</w:t>
      </w:r>
    </w:p>
    <w:p w14:paraId="7C82536A" w14:textId="77777777" w:rsidR="00C04A06" w:rsidRPr="00F74979" w:rsidRDefault="00C04A06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  <w:highlight w:val="yellow"/>
        </w:rPr>
      </w:pPr>
    </w:p>
    <w:p w14:paraId="2EC70F7B" w14:textId="77777777" w:rsidR="009F2EDF" w:rsidRPr="00F74979" w:rsidRDefault="00782B7F" w:rsidP="00FD7999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yellow"/>
        </w:rPr>
      </w:pPr>
      <w:r w:rsidRPr="00F74979">
        <w:rPr>
          <w:rFonts w:cstheme="minorHAnsi"/>
          <w:b/>
          <w:highlight w:val="yellow"/>
        </w:rPr>
        <w:t xml:space="preserve">ŠIFRA I NAZIV </w:t>
      </w:r>
      <w:r w:rsidR="00136EB3" w:rsidRPr="00F74979">
        <w:rPr>
          <w:rFonts w:cstheme="minorHAnsi"/>
          <w:b/>
          <w:highlight w:val="yellow"/>
        </w:rPr>
        <w:t>KORISNIKA</w:t>
      </w:r>
      <w:r w:rsidR="00041292" w:rsidRPr="00F74979">
        <w:rPr>
          <w:rFonts w:cstheme="minorHAnsi"/>
          <w:b/>
          <w:highlight w:val="yellow"/>
        </w:rPr>
        <w:t xml:space="preserve">: </w:t>
      </w:r>
      <w:r w:rsidR="00BE1BF3" w:rsidRPr="00F74979">
        <w:rPr>
          <w:rFonts w:ascii="Times New Roman" w:hAnsi="Times New Roman" w:cs="Times New Roman"/>
          <w:b/>
          <w:sz w:val="20"/>
          <w:szCs w:val="20"/>
          <w:highlight w:val="yellow"/>
        </w:rPr>
        <w:t>8-34 MJEŠOVITA INDUSTRIJSKO-OBRTNIČKA ŠKOLA</w:t>
      </w:r>
    </w:p>
    <w:p w14:paraId="25A9B2D5" w14:textId="77777777" w:rsidR="009F2EDF" w:rsidRPr="00F74979" w:rsidRDefault="009F2EDF" w:rsidP="009F2EDF">
      <w:pPr>
        <w:spacing w:after="0" w:line="240" w:lineRule="auto"/>
        <w:rPr>
          <w:rFonts w:cstheme="minorHAnsi"/>
          <w:b/>
          <w:highlight w:val="magenta"/>
        </w:rPr>
      </w:pPr>
    </w:p>
    <w:p w14:paraId="7A3E645A" w14:textId="77777777" w:rsidR="00041292" w:rsidRPr="00F74979" w:rsidRDefault="001E6D4E" w:rsidP="0067394C">
      <w:pPr>
        <w:spacing w:after="0" w:line="240" w:lineRule="auto"/>
        <w:rPr>
          <w:rFonts w:cstheme="minorHAnsi"/>
          <w:b/>
        </w:rPr>
      </w:pPr>
      <w:r w:rsidRPr="00F74979">
        <w:rPr>
          <w:rFonts w:cstheme="minorHAnsi"/>
          <w:b/>
        </w:rPr>
        <w:t>SAŽETAK DJELOKRUGA RADA</w:t>
      </w:r>
      <w:r w:rsidR="00041292" w:rsidRPr="00F74979">
        <w:rPr>
          <w:rFonts w:cstheme="minorHAnsi"/>
          <w:b/>
        </w:rPr>
        <w:t>:</w:t>
      </w:r>
    </w:p>
    <w:p w14:paraId="469CBBC5" w14:textId="77777777" w:rsidR="00BE1BF3" w:rsidRPr="00F74979" w:rsidRDefault="00BE1BF3" w:rsidP="0067394C">
      <w:pPr>
        <w:spacing w:after="0" w:line="240" w:lineRule="auto"/>
        <w:rPr>
          <w:rFonts w:cstheme="minorHAnsi"/>
          <w:b/>
        </w:rPr>
      </w:pPr>
    </w:p>
    <w:p w14:paraId="05DC3DC6" w14:textId="77777777" w:rsidR="00BE1BF3" w:rsidRPr="00F74979" w:rsidRDefault="00BE1BF3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 xml:space="preserve">Osnovna djelatnost Škole obuhvaća odgoj i obrazovanje mladeži, uključujući i učenike s teškoćama u razvoju i odraslih za stjecanje srednje stručne spreme, niže stručne spreme, prekvalifikaciju, osposobljavanje i usavršavanje. Obrazovanje odraslih stječe se pohađanjem nastave ili konzultativno–instruktivnom nastavom sukladno nastavnim planovima i programima. Sporedna djelatnost škole je proizvodnja i prodaja proizvoda i usluga. </w:t>
      </w:r>
    </w:p>
    <w:p w14:paraId="6D3A9A29" w14:textId="77777777" w:rsidR="00BE1BF3" w:rsidRPr="00F74979" w:rsidRDefault="00BE1BF3" w:rsidP="0067394C">
      <w:pPr>
        <w:spacing w:after="0" w:line="240" w:lineRule="auto"/>
        <w:jc w:val="both"/>
        <w:rPr>
          <w:rFonts w:ascii="Calibri" w:hAnsi="Calibri" w:cs="Calibri"/>
        </w:rPr>
      </w:pPr>
    </w:p>
    <w:p w14:paraId="7C3910CD" w14:textId="77777777" w:rsidR="00BE1BF3" w:rsidRPr="00F74979" w:rsidRDefault="00BE1BF3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 xml:space="preserve">Škola u okviru djelatnosti strukovnog obrazovanja obavlja i sljedeće poslove: </w:t>
      </w:r>
    </w:p>
    <w:p w14:paraId="344676B1" w14:textId="77777777" w:rsidR="00BE1BF3" w:rsidRPr="00F74979" w:rsidRDefault="00BE1BF3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 xml:space="preserve">- obrazovnu ponudu usklađuje s potrebama tržišta rada, </w:t>
      </w:r>
    </w:p>
    <w:p w14:paraId="0E4445A3" w14:textId="77777777" w:rsidR="00BE1BF3" w:rsidRPr="00F74979" w:rsidRDefault="00BE1BF3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 xml:space="preserve">- uspostavlja lokalna partnerstva, </w:t>
      </w:r>
    </w:p>
    <w:p w14:paraId="6C302FD1" w14:textId="77777777" w:rsidR="00BE1BF3" w:rsidRPr="00F74979" w:rsidRDefault="00BE1BF3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- izrađuje dio kurikuluma sukladno lokalnim i regionalnim potrebama u skladu sa Zakonom o strukovnom obrazovanju.</w:t>
      </w:r>
    </w:p>
    <w:p w14:paraId="0FA74836" w14:textId="77777777" w:rsidR="009F2EDF" w:rsidRPr="00F74979" w:rsidRDefault="009F2EDF" w:rsidP="0067394C">
      <w:pPr>
        <w:spacing w:after="0" w:line="240" w:lineRule="auto"/>
        <w:jc w:val="both"/>
        <w:rPr>
          <w:rFonts w:ascii="Calibri" w:hAnsi="Calibri" w:cs="Calibri"/>
        </w:rPr>
      </w:pPr>
    </w:p>
    <w:p w14:paraId="1F89E6A8" w14:textId="77777777" w:rsidR="00ED040F" w:rsidRPr="00F74979" w:rsidRDefault="00ED040F" w:rsidP="0067394C">
      <w:pPr>
        <w:spacing w:after="0" w:line="240" w:lineRule="auto"/>
        <w:rPr>
          <w:rFonts w:cstheme="minorHAnsi"/>
          <w:b/>
        </w:rPr>
      </w:pPr>
      <w:r w:rsidRPr="00F74979">
        <w:rPr>
          <w:rFonts w:cstheme="minorHAnsi"/>
          <w:b/>
        </w:rPr>
        <w:t>ORGANIZACIJSKA STRUKTURA:</w:t>
      </w:r>
    </w:p>
    <w:p w14:paraId="086286DD" w14:textId="77777777" w:rsidR="00ED040F" w:rsidRPr="00F74979" w:rsidRDefault="00ED040F" w:rsidP="0067394C">
      <w:pPr>
        <w:spacing w:after="0" w:line="240" w:lineRule="auto"/>
        <w:rPr>
          <w:rFonts w:cstheme="minorHAnsi"/>
          <w:b/>
        </w:rPr>
      </w:pPr>
    </w:p>
    <w:p w14:paraId="46DC78DE" w14:textId="77777777" w:rsidR="00BE1BF3" w:rsidRPr="00F74979" w:rsidRDefault="00BE1BF3" w:rsidP="0067394C">
      <w:pPr>
        <w:snapToGrid w:val="0"/>
        <w:spacing w:after="0" w:line="240" w:lineRule="auto"/>
        <w:ind w:right="180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Djelatnost škole se obavlja kao javna služba koja zapošljava 61 djelatnika. Odgovorna i čelna osoba institucije je ravnateljica, Snježana Erdeljac. Uz ravnateljicu djelatnici se dijele na nastavno (49) i nenastavno (7) osoblje te stručna služba (4). Sukladno poslovima koji se obavljaju u Školi i u narednom razdoblju će se nastaviti provoditi svi programi i aktivnosti utvrđeni Godišnjim planom i programom rada, te Školskim kurikulumom.</w:t>
      </w:r>
    </w:p>
    <w:p w14:paraId="1315B96A" w14:textId="77777777" w:rsidR="001E6D4E" w:rsidRPr="00F74979" w:rsidRDefault="001E6D4E" w:rsidP="009F2EDF">
      <w:pPr>
        <w:spacing w:after="0" w:line="240" w:lineRule="auto"/>
        <w:rPr>
          <w:rFonts w:cstheme="minorHAnsi"/>
        </w:rPr>
      </w:pPr>
    </w:p>
    <w:p w14:paraId="4376C60A" w14:textId="77777777" w:rsidR="009F2EDF" w:rsidRPr="00F74979" w:rsidRDefault="00C04A06" w:rsidP="009F2EDF">
      <w:pPr>
        <w:spacing w:after="0" w:line="240" w:lineRule="auto"/>
        <w:rPr>
          <w:rFonts w:ascii="Calibri" w:hAnsi="Calibri" w:cs="Calibri"/>
          <w:b/>
        </w:rPr>
      </w:pPr>
      <w:r w:rsidRPr="00F74979">
        <w:rPr>
          <w:rFonts w:ascii="Calibri" w:hAnsi="Calibri" w:cs="Calibri"/>
          <w:b/>
        </w:rPr>
        <w:t>IZVRŠENJE FINANCIJSKOG PLANA ZA SIJEČANJ-LIPANJ 2023.</w:t>
      </w:r>
      <w:r w:rsidR="00742729" w:rsidRPr="00F74979">
        <w:rPr>
          <w:rFonts w:ascii="Calibri" w:hAnsi="Calibri" w:cs="Calibri"/>
          <w:bCs/>
          <w:iCs/>
        </w:rPr>
        <w:t>(iznosi u EUR)</w:t>
      </w:r>
      <w:r w:rsidR="00041292" w:rsidRPr="00F74979">
        <w:rPr>
          <w:rFonts w:ascii="Calibri" w:hAnsi="Calibri" w:cs="Calibri"/>
          <w:b/>
        </w:rPr>
        <w:t>:</w:t>
      </w:r>
    </w:p>
    <w:tbl>
      <w:tblPr>
        <w:tblStyle w:val="Reetkatablice"/>
        <w:tblW w:w="10244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276"/>
        <w:gridCol w:w="1418"/>
        <w:gridCol w:w="1408"/>
        <w:gridCol w:w="1285"/>
        <w:gridCol w:w="967"/>
        <w:gridCol w:w="947"/>
      </w:tblGrid>
      <w:tr w:rsidR="00B23F58" w:rsidRPr="00F74979" w14:paraId="6D7F08A9" w14:textId="77777777" w:rsidTr="00B23F58">
        <w:trPr>
          <w:trHeight w:val="473"/>
        </w:trPr>
        <w:tc>
          <w:tcPr>
            <w:tcW w:w="959" w:type="dxa"/>
            <w:vAlign w:val="center"/>
          </w:tcPr>
          <w:p w14:paraId="3E983FC1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Šifra programa</w:t>
            </w:r>
          </w:p>
        </w:tc>
        <w:tc>
          <w:tcPr>
            <w:tcW w:w="1984" w:type="dxa"/>
            <w:vAlign w:val="center"/>
          </w:tcPr>
          <w:p w14:paraId="71D2ABF2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Naziv programa</w:t>
            </w:r>
          </w:p>
        </w:tc>
        <w:tc>
          <w:tcPr>
            <w:tcW w:w="1276" w:type="dxa"/>
          </w:tcPr>
          <w:p w14:paraId="3A1B6524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IZVRŠENJE 01.01.-30.06.2022.</w:t>
            </w:r>
          </w:p>
        </w:tc>
        <w:tc>
          <w:tcPr>
            <w:tcW w:w="1418" w:type="dxa"/>
          </w:tcPr>
          <w:p w14:paraId="4803E43A" w14:textId="77777777" w:rsidR="002B21B5" w:rsidRPr="00F74979" w:rsidRDefault="002B21B5" w:rsidP="002B21B5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 xml:space="preserve">PLAN </w:t>
            </w:r>
          </w:p>
          <w:p w14:paraId="58577037" w14:textId="77777777" w:rsidR="002B21B5" w:rsidRPr="00F74979" w:rsidRDefault="002B21B5" w:rsidP="002B21B5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2023.</w:t>
            </w:r>
          </w:p>
        </w:tc>
        <w:tc>
          <w:tcPr>
            <w:tcW w:w="1408" w:type="dxa"/>
            <w:vAlign w:val="center"/>
          </w:tcPr>
          <w:p w14:paraId="2D78E472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I REBALANS</w:t>
            </w:r>
          </w:p>
          <w:p w14:paraId="11E0A390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2023.</w:t>
            </w:r>
          </w:p>
        </w:tc>
        <w:tc>
          <w:tcPr>
            <w:tcW w:w="1285" w:type="dxa"/>
            <w:vAlign w:val="center"/>
          </w:tcPr>
          <w:p w14:paraId="71EF7CFD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IZVRŠENJE 01.01.-30.06.2023.</w:t>
            </w:r>
          </w:p>
        </w:tc>
        <w:tc>
          <w:tcPr>
            <w:tcW w:w="967" w:type="dxa"/>
            <w:vAlign w:val="center"/>
          </w:tcPr>
          <w:p w14:paraId="0B9AE029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INDEKS %</w:t>
            </w:r>
          </w:p>
          <w:p w14:paraId="4F964E40" w14:textId="77777777" w:rsidR="00B23F58" w:rsidRPr="00F74979" w:rsidRDefault="00B23F58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6/3</w:t>
            </w:r>
          </w:p>
        </w:tc>
        <w:tc>
          <w:tcPr>
            <w:tcW w:w="947" w:type="dxa"/>
          </w:tcPr>
          <w:p w14:paraId="5444C06B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INDEKS %</w:t>
            </w:r>
          </w:p>
          <w:p w14:paraId="6C96BA89" w14:textId="77777777" w:rsidR="00B23F58" w:rsidRPr="00F74979" w:rsidRDefault="00B23F58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6/5</w:t>
            </w:r>
          </w:p>
        </w:tc>
      </w:tr>
      <w:tr w:rsidR="00B23F58" w:rsidRPr="00F74979" w14:paraId="15C70670" w14:textId="77777777" w:rsidTr="00B23F58">
        <w:trPr>
          <w:trHeight w:val="70"/>
        </w:trPr>
        <w:tc>
          <w:tcPr>
            <w:tcW w:w="959" w:type="dxa"/>
            <w:vAlign w:val="center"/>
          </w:tcPr>
          <w:p w14:paraId="3D7C3501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1984" w:type="dxa"/>
            <w:vAlign w:val="center"/>
          </w:tcPr>
          <w:p w14:paraId="610A39B5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1276" w:type="dxa"/>
          </w:tcPr>
          <w:p w14:paraId="6054C67E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1418" w:type="dxa"/>
          </w:tcPr>
          <w:p w14:paraId="2F4FC5A3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1408" w:type="dxa"/>
            <w:vAlign w:val="center"/>
          </w:tcPr>
          <w:p w14:paraId="225DCD57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1285" w:type="dxa"/>
            <w:vAlign w:val="center"/>
          </w:tcPr>
          <w:p w14:paraId="039B5541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6</w:t>
            </w:r>
          </w:p>
        </w:tc>
        <w:tc>
          <w:tcPr>
            <w:tcW w:w="967" w:type="dxa"/>
            <w:vAlign w:val="center"/>
          </w:tcPr>
          <w:p w14:paraId="79225F7F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7</w:t>
            </w:r>
          </w:p>
        </w:tc>
        <w:tc>
          <w:tcPr>
            <w:tcW w:w="947" w:type="dxa"/>
          </w:tcPr>
          <w:p w14:paraId="36B696E1" w14:textId="77777777" w:rsidR="002B21B5" w:rsidRPr="00F74979" w:rsidRDefault="002B21B5" w:rsidP="00861373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8</w:t>
            </w:r>
          </w:p>
        </w:tc>
      </w:tr>
      <w:tr w:rsidR="00B23F58" w:rsidRPr="00F74979" w14:paraId="431A8583" w14:textId="77777777" w:rsidTr="00B23F58">
        <w:trPr>
          <w:trHeight w:val="228"/>
        </w:trPr>
        <w:tc>
          <w:tcPr>
            <w:tcW w:w="959" w:type="dxa"/>
          </w:tcPr>
          <w:p w14:paraId="0F4EC238" w14:textId="77777777" w:rsidR="002B21B5" w:rsidRPr="00F74979" w:rsidRDefault="00A546E2" w:rsidP="009F2EDF">
            <w:pPr>
              <w:jc w:val="center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123</w:t>
            </w:r>
          </w:p>
        </w:tc>
        <w:tc>
          <w:tcPr>
            <w:tcW w:w="1984" w:type="dxa"/>
          </w:tcPr>
          <w:p w14:paraId="5B7D956A" w14:textId="77777777" w:rsidR="002B21B5" w:rsidRPr="00F74979" w:rsidRDefault="00BE1BF3" w:rsidP="002448D1">
            <w:pPr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 xml:space="preserve">Zakonski standard </w:t>
            </w:r>
            <w:r w:rsidR="00A546E2" w:rsidRPr="00F74979">
              <w:rPr>
                <w:rFonts w:ascii="Calibri" w:hAnsi="Calibri" w:cs="Calibri"/>
              </w:rPr>
              <w:t>SŠ</w:t>
            </w:r>
          </w:p>
        </w:tc>
        <w:tc>
          <w:tcPr>
            <w:tcW w:w="1276" w:type="dxa"/>
          </w:tcPr>
          <w:p w14:paraId="7BD9F0C0" w14:textId="77777777" w:rsidR="002B21B5" w:rsidRPr="00F74979" w:rsidRDefault="00BE1BF3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155.086,00</w:t>
            </w:r>
          </w:p>
        </w:tc>
        <w:tc>
          <w:tcPr>
            <w:tcW w:w="1418" w:type="dxa"/>
          </w:tcPr>
          <w:p w14:paraId="72F5EF81" w14:textId="77777777" w:rsidR="002B21B5" w:rsidRPr="00F74979" w:rsidRDefault="00BE1BF3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130.100,00</w:t>
            </w:r>
          </w:p>
        </w:tc>
        <w:tc>
          <w:tcPr>
            <w:tcW w:w="1408" w:type="dxa"/>
          </w:tcPr>
          <w:p w14:paraId="5FF22E82" w14:textId="77777777" w:rsidR="002B21B5" w:rsidRPr="00F74979" w:rsidRDefault="00BE1BF3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129</w:t>
            </w:r>
            <w:r w:rsidR="00B23F58" w:rsidRPr="00F74979">
              <w:rPr>
                <w:rFonts w:ascii="Calibri" w:hAnsi="Calibri" w:cs="Calibri"/>
              </w:rPr>
              <w:t>.</w:t>
            </w:r>
            <w:r w:rsidRPr="00F74979">
              <w:rPr>
                <w:rFonts w:ascii="Calibri" w:hAnsi="Calibri" w:cs="Calibri"/>
              </w:rPr>
              <w:t>980,00</w:t>
            </w:r>
          </w:p>
        </w:tc>
        <w:tc>
          <w:tcPr>
            <w:tcW w:w="1285" w:type="dxa"/>
          </w:tcPr>
          <w:p w14:paraId="68EF1ACC" w14:textId="77777777" w:rsidR="002B21B5" w:rsidRPr="00F74979" w:rsidRDefault="00BE1BF3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56</w:t>
            </w:r>
            <w:r w:rsidR="00B23F58" w:rsidRPr="00F74979">
              <w:rPr>
                <w:rFonts w:ascii="Calibri" w:hAnsi="Calibri" w:cs="Calibri"/>
              </w:rPr>
              <w:t>.</w:t>
            </w:r>
            <w:r w:rsidRPr="00F74979">
              <w:rPr>
                <w:rFonts w:ascii="Calibri" w:hAnsi="Calibri" w:cs="Calibri"/>
              </w:rPr>
              <w:t>092,76</w:t>
            </w:r>
          </w:p>
        </w:tc>
        <w:tc>
          <w:tcPr>
            <w:tcW w:w="967" w:type="dxa"/>
          </w:tcPr>
          <w:p w14:paraId="37E401B1" w14:textId="77777777" w:rsidR="002B21B5" w:rsidRPr="00F74979" w:rsidRDefault="00BE1BF3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36,17</w:t>
            </w:r>
          </w:p>
        </w:tc>
        <w:tc>
          <w:tcPr>
            <w:tcW w:w="947" w:type="dxa"/>
          </w:tcPr>
          <w:p w14:paraId="4121A743" w14:textId="77777777" w:rsidR="002B21B5" w:rsidRPr="00F74979" w:rsidRDefault="00BE1BF3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43,15</w:t>
            </w:r>
          </w:p>
        </w:tc>
      </w:tr>
      <w:tr w:rsidR="00B23F58" w:rsidRPr="00F74979" w14:paraId="7043FD1A" w14:textId="77777777" w:rsidTr="00B23F58">
        <w:trPr>
          <w:trHeight w:val="245"/>
        </w:trPr>
        <w:tc>
          <w:tcPr>
            <w:tcW w:w="959" w:type="dxa"/>
          </w:tcPr>
          <w:p w14:paraId="6B80DA10" w14:textId="77777777" w:rsidR="002B21B5" w:rsidRPr="00F74979" w:rsidRDefault="00A546E2" w:rsidP="009F2EDF">
            <w:pPr>
              <w:jc w:val="center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125</w:t>
            </w:r>
          </w:p>
        </w:tc>
        <w:tc>
          <w:tcPr>
            <w:tcW w:w="1984" w:type="dxa"/>
          </w:tcPr>
          <w:p w14:paraId="493A9218" w14:textId="77777777" w:rsidR="002B21B5" w:rsidRPr="00F74979" w:rsidRDefault="00B23F58" w:rsidP="002448D1">
            <w:pPr>
              <w:rPr>
                <w:rFonts w:ascii="Calibri" w:hAnsi="Calibri" w:cs="Calibri"/>
              </w:rPr>
            </w:pPr>
            <w:bookmarkStart w:id="0" w:name="_Hlk139892112"/>
            <w:r w:rsidRPr="00F74979">
              <w:rPr>
                <w:rFonts w:ascii="Calibri" w:hAnsi="Calibri" w:cs="Calibri"/>
              </w:rPr>
              <w:t xml:space="preserve">Program javnih potreba </w:t>
            </w:r>
            <w:r w:rsidR="00A546E2" w:rsidRPr="00F74979">
              <w:rPr>
                <w:rFonts w:ascii="Calibri" w:hAnsi="Calibri" w:cs="Calibri"/>
              </w:rPr>
              <w:t>iznad standarda – vlastiti prihodi</w:t>
            </w:r>
            <w:bookmarkEnd w:id="0"/>
          </w:p>
        </w:tc>
        <w:tc>
          <w:tcPr>
            <w:tcW w:w="1276" w:type="dxa"/>
          </w:tcPr>
          <w:p w14:paraId="67038D57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4.542,28</w:t>
            </w:r>
          </w:p>
        </w:tc>
        <w:tc>
          <w:tcPr>
            <w:tcW w:w="1418" w:type="dxa"/>
          </w:tcPr>
          <w:p w14:paraId="0E522EA8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6.700,00</w:t>
            </w:r>
          </w:p>
        </w:tc>
        <w:tc>
          <w:tcPr>
            <w:tcW w:w="1408" w:type="dxa"/>
          </w:tcPr>
          <w:p w14:paraId="01D493AA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7.000,00</w:t>
            </w:r>
          </w:p>
        </w:tc>
        <w:tc>
          <w:tcPr>
            <w:tcW w:w="1285" w:type="dxa"/>
          </w:tcPr>
          <w:p w14:paraId="53318FD0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1.056,51</w:t>
            </w:r>
          </w:p>
        </w:tc>
        <w:tc>
          <w:tcPr>
            <w:tcW w:w="967" w:type="dxa"/>
          </w:tcPr>
          <w:p w14:paraId="2F66FB1A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23,26</w:t>
            </w:r>
          </w:p>
        </w:tc>
        <w:tc>
          <w:tcPr>
            <w:tcW w:w="947" w:type="dxa"/>
          </w:tcPr>
          <w:p w14:paraId="1CBBEB71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15,09</w:t>
            </w:r>
          </w:p>
        </w:tc>
      </w:tr>
      <w:tr w:rsidR="00B23F58" w:rsidRPr="00F74979" w14:paraId="3509173B" w14:textId="77777777" w:rsidTr="00B23F58">
        <w:trPr>
          <w:trHeight w:val="228"/>
        </w:trPr>
        <w:tc>
          <w:tcPr>
            <w:tcW w:w="959" w:type="dxa"/>
          </w:tcPr>
          <w:p w14:paraId="7B51D157" w14:textId="77777777" w:rsidR="002B21B5" w:rsidRPr="00F74979" w:rsidRDefault="00A546E2" w:rsidP="009F2EDF">
            <w:pPr>
              <w:jc w:val="center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141</w:t>
            </w:r>
          </w:p>
        </w:tc>
        <w:tc>
          <w:tcPr>
            <w:tcW w:w="1984" w:type="dxa"/>
          </w:tcPr>
          <w:p w14:paraId="0CD90366" w14:textId="77777777" w:rsidR="002B21B5" w:rsidRPr="00F74979" w:rsidRDefault="00A546E2" w:rsidP="002448D1">
            <w:pPr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Javne potre</w:t>
            </w:r>
            <w:r w:rsidR="00B23F58" w:rsidRPr="00F74979">
              <w:rPr>
                <w:rFonts w:ascii="Calibri" w:hAnsi="Calibri" w:cs="Calibri"/>
              </w:rPr>
              <w:t xml:space="preserve">be iznad zakonskog standarda </w:t>
            </w:r>
            <w:r w:rsidRPr="00F74979">
              <w:rPr>
                <w:rFonts w:ascii="Calibri" w:hAnsi="Calibri" w:cs="Calibri"/>
              </w:rPr>
              <w:t>SŠ</w:t>
            </w:r>
          </w:p>
        </w:tc>
        <w:tc>
          <w:tcPr>
            <w:tcW w:w="1276" w:type="dxa"/>
          </w:tcPr>
          <w:p w14:paraId="7C641F37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12.341,25</w:t>
            </w:r>
          </w:p>
        </w:tc>
        <w:tc>
          <w:tcPr>
            <w:tcW w:w="1418" w:type="dxa"/>
          </w:tcPr>
          <w:p w14:paraId="280E85E8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125.871,00</w:t>
            </w:r>
          </w:p>
        </w:tc>
        <w:tc>
          <w:tcPr>
            <w:tcW w:w="1408" w:type="dxa"/>
          </w:tcPr>
          <w:p w14:paraId="5033D1BF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145.813,17</w:t>
            </w:r>
          </w:p>
        </w:tc>
        <w:tc>
          <w:tcPr>
            <w:tcW w:w="1285" w:type="dxa"/>
          </w:tcPr>
          <w:p w14:paraId="6F027CA0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46.652,28</w:t>
            </w:r>
          </w:p>
        </w:tc>
        <w:tc>
          <w:tcPr>
            <w:tcW w:w="967" w:type="dxa"/>
          </w:tcPr>
          <w:p w14:paraId="4D740A13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378,02</w:t>
            </w:r>
          </w:p>
        </w:tc>
        <w:tc>
          <w:tcPr>
            <w:tcW w:w="947" w:type="dxa"/>
          </w:tcPr>
          <w:p w14:paraId="77B34FCB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31,99</w:t>
            </w:r>
          </w:p>
        </w:tc>
      </w:tr>
      <w:tr w:rsidR="00B23F58" w:rsidRPr="00F74979" w14:paraId="3637543C" w14:textId="77777777" w:rsidTr="00B23F58">
        <w:trPr>
          <w:trHeight w:val="228"/>
        </w:trPr>
        <w:tc>
          <w:tcPr>
            <w:tcW w:w="959" w:type="dxa"/>
          </w:tcPr>
          <w:p w14:paraId="38CD0F45" w14:textId="77777777" w:rsidR="00A546E2" w:rsidRPr="00F74979" w:rsidRDefault="00B23F58" w:rsidP="009F2EDF">
            <w:pPr>
              <w:jc w:val="center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157</w:t>
            </w:r>
          </w:p>
        </w:tc>
        <w:tc>
          <w:tcPr>
            <w:tcW w:w="1984" w:type="dxa"/>
          </w:tcPr>
          <w:p w14:paraId="2DCFA5EE" w14:textId="77777777" w:rsidR="00A546E2" w:rsidRPr="00F74979" w:rsidRDefault="00B23F58" w:rsidP="002448D1">
            <w:pPr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Javne potrebe iznad zakonskog standarda u školstvu – ostali korisnici</w:t>
            </w:r>
          </w:p>
        </w:tc>
        <w:tc>
          <w:tcPr>
            <w:tcW w:w="1276" w:type="dxa"/>
          </w:tcPr>
          <w:p w14:paraId="121D6977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0</w:t>
            </w:r>
          </w:p>
        </w:tc>
        <w:tc>
          <w:tcPr>
            <w:tcW w:w="1418" w:type="dxa"/>
          </w:tcPr>
          <w:p w14:paraId="0D63B115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0</w:t>
            </w:r>
          </w:p>
        </w:tc>
        <w:tc>
          <w:tcPr>
            <w:tcW w:w="1408" w:type="dxa"/>
          </w:tcPr>
          <w:p w14:paraId="448D249B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12.000,00</w:t>
            </w:r>
          </w:p>
        </w:tc>
        <w:tc>
          <w:tcPr>
            <w:tcW w:w="1285" w:type="dxa"/>
          </w:tcPr>
          <w:p w14:paraId="75C22E10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2.870,46</w:t>
            </w:r>
          </w:p>
        </w:tc>
        <w:tc>
          <w:tcPr>
            <w:tcW w:w="967" w:type="dxa"/>
          </w:tcPr>
          <w:p w14:paraId="356E2143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0</w:t>
            </w:r>
          </w:p>
        </w:tc>
        <w:tc>
          <w:tcPr>
            <w:tcW w:w="947" w:type="dxa"/>
          </w:tcPr>
          <w:p w14:paraId="5CFECE25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23,92</w:t>
            </w:r>
          </w:p>
        </w:tc>
      </w:tr>
      <w:tr w:rsidR="00B23F58" w:rsidRPr="00F74979" w14:paraId="214A0125" w14:textId="77777777" w:rsidTr="00B23F58">
        <w:trPr>
          <w:trHeight w:val="228"/>
        </w:trPr>
        <w:tc>
          <w:tcPr>
            <w:tcW w:w="959" w:type="dxa"/>
          </w:tcPr>
          <w:p w14:paraId="03A73FC4" w14:textId="77777777" w:rsidR="00A546E2" w:rsidRPr="00F74979" w:rsidRDefault="00B23F58" w:rsidP="009F2EDF">
            <w:pPr>
              <w:jc w:val="center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201</w:t>
            </w:r>
          </w:p>
        </w:tc>
        <w:tc>
          <w:tcPr>
            <w:tcW w:w="1984" w:type="dxa"/>
          </w:tcPr>
          <w:p w14:paraId="4245FDFF" w14:textId="77777777" w:rsidR="00A546E2" w:rsidRPr="00F74979" w:rsidRDefault="00B23F58" w:rsidP="002448D1">
            <w:pPr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MZOS – PLAĆE SŠ</w:t>
            </w:r>
          </w:p>
        </w:tc>
        <w:tc>
          <w:tcPr>
            <w:tcW w:w="1276" w:type="dxa"/>
          </w:tcPr>
          <w:p w14:paraId="122DF788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530.031,97</w:t>
            </w:r>
          </w:p>
        </w:tc>
        <w:tc>
          <w:tcPr>
            <w:tcW w:w="1418" w:type="dxa"/>
          </w:tcPr>
          <w:p w14:paraId="087DD25C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1.080.000,00</w:t>
            </w:r>
          </w:p>
        </w:tc>
        <w:tc>
          <w:tcPr>
            <w:tcW w:w="1408" w:type="dxa"/>
          </w:tcPr>
          <w:p w14:paraId="5DFBBE81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1.215.000,00</w:t>
            </w:r>
          </w:p>
        </w:tc>
        <w:tc>
          <w:tcPr>
            <w:tcW w:w="1285" w:type="dxa"/>
          </w:tcPr>
          <w:p w14:paraId="1DC845B7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590.566,20</w:t>
            </w:r>
          </w:p>
        </w:tc>
        <w:tc>
          <w:tcPr>
            <w:tcW w:w="967" w:type="dxa"/>
          </w:tcPr>
          <w:p w14:paraId="272731B5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111,42</w:t>
            </w:r>
          </w:p>
        </w:tc>
        <w:tc>
          <w:tcPr>
            <w:tcW w:w="947" w:type="dxa"/>
          </w:tcPr>
          <w:p w14:paraId="25AAB762" w14:textId="77777777" w:rsidR="00A546E2" w:rsidRPr="00F74979" w:rsidRDefault="00B23F58" w:rsidP="009F2EDF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48,61</w:t>
            </w:r>
          </w:p>
        </w:tc>
      </w:tr>
      <w:tr w:rsidR="00B23F58" w:rsidRPr="00F74979" w14:paraId="5BA86863" w14:textId="77777777" w:rsidTr="00B23F58">
        <w:trPr>
          <w:trHeight w:val="245"/>
        </w:trPr>
        <w:tc>
          <w:tcPr>
            <w:tcW w:w="2943" w:type="dxa"/>
            <w:gridSpan w:val="2"/>
          </w:tcPr>
          <w:p w14:paraId="2F1ABA6A" w14:textId="77777777" w:rsidR="002B21B5" w:rsidRPr="00F74979" w:rsidRDefault="002B21B5" w:rsidP="009F2EDF">
            <w:pPr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 xml:space="preserve">Ukupno Glava: </w:t>
            </w:r>
            <w:r w:rsidR="00471ECA" w:rsidRPr="00F74979">
              <w:rPr>
                <w:rFonts w:ascii="Calibri" w:hAnsi="Calibri" w:cs="Calibri"/>
                <w:b/>
              </w:rPr>
              <w:t>8-34</w:t>
            </w:r>
          </w:p>
        </w:tc>
        <w:tc>
          <w:tcPr>
            <w:tcW w:w="1276" w:type="dxa"/>
          </w:tcPr>
          <w:p w14:paraId="2F6E4369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702.001,50</w:t>
            </w:r>
          </w:p>
        </w:tc>
        <w:tc>
          <w:tcPr>
            <w:tcW w:w="1418" w:type="dxa"/>
          </w:tcPr>
          <w:p w14:paraId="341CD0E3" w14:textId="77777777" w:rsidR="002B21B5" w:rsidRPr="00F74979" w:rsidRDefault="00B23F58" w:rsidP="009F2EDF">
            <w:pPr>
              <w:jc w:val="right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1.342.671,00</w:t>
            </w:r>
          </w:p>
        </w:tc>
        <w:tc>
          <w:tcPr>
            <w:tcW w:w="1408" w:type="dxa"/>
          </w:tcPr>
          <w:p w14:paraId="508661B7" w14:textId="77777777" w:rsidR="002B21B5" w:rsidRPr="00F74979" w:rsidRDefault="00B257AE" w:rsidP="009F2EDF">
            <w:pPr>
              <w:jc w:val="right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1.509.793,17</w:t>
            </w:r>
          </w:p>
        </w:tc>
        <w:tc>
          <w:tcPr>
            <w:tcW w:w="1285" w:type="dxa"/>
          </w:tcPr>
          <w:p w14:paraId="4E5F8DBC" w14:textId="77777777" w:rsidR="002B21B5" w:rsidRPr="00F74979" w:rsidRDefault="00471ECA" w:rsidP="009F2EDF">
            <w:pPr>
              <w:jc w:val="right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697.238,21</w:t>
            </w:r>
          </w:p>
        </w:tc>
        <w:tc>
          <w:tcPr>
            <w:tcW w:w="967" w:type="dxa"/>
          </w:tcPr>
          <w:p w14:paraId="42CD407C" w14:textId="77777777" w:rsidR="002B21B5" w:rsidRPr="00F74979" w:rsidRDefault="00471ECA" w:rsidP="009F2EDF">
            <w:pPr>
              <w:jc w:val="right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99,32</w:t>
            </w:r>
          </w:p>
        </w:tc>
        <w:tc>
          <w:tcPr>
            <w:tcW w:w="947" w:type="dxa"/>
          </w:tcPr>
          <w:p w14:paraId="572FB10F" w14:textId="77777777" w:rsidR="002B21B5" w:rsidRPr="00F74979" w:rsidRDefault="00471ECA" w:rsidP="009F2EDF">
            <w:pPr>
              <w:jc w:val="right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46,18</w:t>
            </w:r>
          </w:p>
        </w:tc>
      </w:tr>
    </w:tbl>
    <w:p w14:paraId="66B972EE" w14:textId="77777777" w:rsidR="0067394C" w:rsidRPr="00F74979" w:rsidRDefault="0067394C" w:rsidP="003842D8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iCs/>
          <w:highlight w:val="yellow"/>
          <w:u w:val="single"/>
        </w:rPr>
      </w:pPr>
    </w:p>
    <w:p w14:paraId="737B13E9" w14:textId="77777777" w:rsidR="0067394C" w:rsidRPr="00F74979" w:rsidRDefault="0067394C" w:rsidP="003842D8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iCs/>
          <w:highlight w:val="yellow"/>
          <w:u w:val="single"/>
        </w:rPr>
      </w:pPr>
    </w:p>
    <w:p w14:paraId="53B7D0B9" w14:textId="77777777" w:rsidR="00E53A28" w:rsidRPr="00F74979" w:rsidRDefault="00B05EAF" w:rsidP="003842D8">
      <w:pPr>
        <w:pBdr>
          <w:bottom w:val="single" w:sz="4" w:space="1" w:color="auto"/>
        </w:pBdr>
        <w:spacing w:after="0" w:line="240" w:lineRule="auto"/>
        <w:jc w:val="both"/>
        <w:rPr>
          <w:rFonts w:ascii="Calibri" w:hAnsi="Calibri" w:cs="Calibri"/>
          <w:b/>
          <w:highlight w:val="yellow"/>
        </w:rPr>
      </w:pPr>
      <w:r w:rsidRPr="00F74979">
        <w:rPr>
          <w:rFonts w:ascii="Calibri" w:hAnsi="Calibri" w:cs="Calibri"/>
          <w:b/>
          <w:iCs/>
          <w:highlight w:val="yellow"/>
          <w:u w:val="single"/>
        </w:rPr>
        <w:lastRenderedPageBreak/>
        <w:t xml:space="preserve">ŠIFRA I </w:t>
      </w:r>
      <w:r w:rsidR="00041292" w:rsidRPr="00F74979">
        <w:rPr>
          <w:rFonts w:ascii="Calibri" w:hAnsi="Calibri" w:cs="Calibri"/>
          <w:b/>
          <w:iCs/>
          <w:highlight w:val="yellow"/>
          <w:u w:val="single"/>
        </w:rPr>
        <w:t>NAZIV PROGRAMA:</w:t>
      </w:r>
      <w:r w:rsidR="004D38A2" w:rsidRPr="00F74979">
        <w:rPr>
          <w:rFonts w:ascii="Calibri" w:hAnsi="Calibri" w:cs="Calibri"/>
          <w:b/>
          <w:highlight w:val="yellow"/>
        </w:rPr>
        <w:t xml:space="preserve"> 123     Zakonski standard javnih ustanova SŠ</w:t>
      </w:r>
    </w:p>
    <w:p w14:paraId="4DCF2571" w14:textId="77777777" w:rsidR="00565359" w:rsidRPr="00F74979" w:rsidRDefault="00565359" w:rsidP="0067394C">
      <w:pPr>
        <w:spacing w:after="0" w:line="240" w:lineRule="auto"/>
        <w:jc w:val="both"/>
        <w:rPr>
          <w:rFonts w:ascii="Calibri" w:hAnsi="Calibri" w:cs="Calibri"/>
          <w:b/>
        </w:rPr>
      </w:pPr>
      <w:r w:rsidRPr="00F74979">
        <w:rPr>
          <w:rFonts w:ascii="Calibri" w:hAnsi="Calibri" w:cs="Calibri"/>
          <w:b/>
        </w:rPr>
        <w:t xml:space="preserve">SVRHA PROGRAMA: </w:t>
      </w:r>
    </w:p>
    <w:p w14:paraId="1EDC50E5" w14:textId="77777777" w:rsidR="004D38A2" w:rsidRPr="00F74979" w:rsidRDefault="004D38A2" w:rsidP="0067394C">
      <w:p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F74979">
        <w:rPr>
          <w:rFonts w:ascii="Calibri" w:eastAsia="Times New Roman" w:hAnsi="Calibri" w:cs="Calibri"/>
          <w:color w:val="000000"/>
        </w:rPr>
        <w:t xml:space="preserve">Cilj svih djelatnosti škole je unapređenje i usavršavanje odgojno – obrazovnog procesa. </w:t>
      </w:r>
    </w:p>
    <w:p w14:paraId="051829CD" w14:textId="77777777" w:rsidR="004D38A2" w:rsidRPr="00F74979" w:rsidRDefault="004D38A2" w:rsidP="0067394C">
      <w:p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F74979">
        <w:rPr>
          <w:rFonts w:ascii="Calibri" w:eastAsia="Times New Roman" w:hAnsi="Calibri" w:cs="Calibri"/>
          <w:color w:val="000000"/>
        </w:rPr>
        <w:t>Specifičan cilj odgoja i obrazovanja mladeži uključujući i učenike s teškoćama u razvoju te nastoji:</w:t>
      </w:r>
    </w:p>
    <w:p w14:paraId="0B085154" w14:textId="77777777" w:rsidR="004D38A2" w:rsidRPr="00F74979" w:rsidRDefault="004D38A2" w:rsidP="0067394C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F74979">
        <w:rPr>
          <w:rFonts w:ascii="Calibri" w:eastAsia="Times New Roman" w:hAnsi="Calibri" w:cs="Calibri"/>
          <w:color w:val="000000"/>
        </w:rPr>
        <w:t>osigurati sustavan način poučavanja učenika, poticati i unapređivati njihov intelektualni, tjelesni, estetski, društveni, moralni i duhovni razvoj u skladu s njihovim sposobnostima i sklonostima,</w:t>
      </w:r>
    </w:p>
    <w:p w14:paraId="5924AB4D" w14:textId="77777777" w:rsidR="004D38A2" w:rsidRPr="00F74979" w:rsidRDefault="004D38A2" w:rsidP="0067394C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F74979">
        <w:rPr>
          <w:rFonts w:ascii="Calibri" w:eastAsia="Times New Roman" w:hAnsi="Calibri" w:cs="Calibri"/>
          <w:color w:val="000000"/>
        </w:rPr>
        <w:t>razvijati učenicima svijest o nacionalnoj pripadnosti, očuvanju povijesno – kulturne baštine i nacionalnog identiteta,</w:t>
      </w:r>
    </w:p>
    <w:p w14:paraId="6ECC941E" w14:textId="77777777" w:rsidR="004D38A2" w:rsidRPr="00F74979" w:rsidRDefault="004D38A2" w:rsidP="0067394C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F74979">
        <w:rPr>
          <w:rFonts w:ascii="Calibri" w:eastAsia="Times New Roman" w:hAnsi="Calibri" w:cs="Calibri"/>
          <w:color w:val="000000"/>
        </w:rPr>
        <w:t>odgajati i obrazovati učenike u skladu s općim kulturnim i civilizacijskim vrijednostima, ljudskim pravima i pravima djece, osposobiti ih za življenje  u  multikulturalnom svijetu, za poštivanje različitosti i toleranciju te za aktivno i odgovorno sudjelovanje u demokratskom razvoju društva,</w:t>
      </w:r>
    </w:p>
    <w:p w14:paraId="395B395C" w14:textId="77777777" w:rsidR="004D38A2" w:rsidRPr="00F74979" w:rsidRDefault="004D38A2" w:rsidP="0067394C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F74979">
        <w:rPr>
          <w:rFonts w:ascii="Calibri" w:eastAsia="Times New Roman" w:hAnsi="Calibri" w:cs="Calibri"/>
          <w:color w:val="000000"/>
        </w:rPr>
        <w:t>osigurati učenicima stjecanje temeljnih (općeobrazovnih) i stručnih kompetencija, osposobiti ih za život i rad u promjenjivom društveno – kulturnom kontekstu prema zahtjevima tržišnog gospodarstva, suvremenih informacijsko – komunikacijskih tehnologija i znanstvenih spoznaja i dostignuća,</w:t>
      </w:r>
    </w:p>
    <w:p w14:paraId="7BB45F00" w14:textId="77777777" w:rsidR="004D38A2" w:rsidRPr="00F74979" w:rsidRDefault="004D38A2" w:rsidP="0067394C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F74979">
        <w:rPr>
          <w:rFonts w:ascii="Calibri" w:eastAsia="Times New Roman" w:hAnsi="Calibri" w:cs="Calibri"/>
          <w:color w:val="000000"/>
        </w:rPr>
        <w:t>osposobiti učenike za cjeloživotno učenje,</w:t>
      </w:r>
    </w:p>
    <w:p w14:paraId="51AD885F" w14:textId="77777777" w:rsidR="004D38A2" w:rsidRPr="00F74979" w:rsidRDefault="004D38A2" w:rsidP="0067394C">
      <w:pPr>
        <w:pStyle w:val="Odlomakpopisa"/>
        <w:numPr>
          <w:ilvl w:val="0"/>
          <w:numId w:val="2"/>
        </w:numPr>
        <w:spacing w:after="0" w:line="240" w:lineRule="auto"/>
        <w:ind w:right="170"/>
        <w:jc w:val="both"/>
        <w:rPr>
          <w:rFonts w:ascii="Calibri" w:eastAsia="Times New Roman" w:hAnsi="Calibri" w:cs="Calibri"/>
          <w:color w:val="000000"/>
        </w:rPr>
      </w:pPr>
      <w:r w:rsidRPr="00F74979">
        <w:rPr>
          <w:rFonts w:ascii="Calibri" w:eastAsia="Times New Roman" w:hAnsi="Calibri" w:cs="Calibri"/>
          <w:color w:val="000000"/>
        </w:rPr>
        <w:t>poticati stručno osposobljavanje i usavršavanje djelatnika.</w:t>
      </w:r>
    </w:p>
    <w:p w14:paraId="09558AA5" w14:textId="77777777" w:rsidR="004D38A2" w:rsidRPr="00F74979" w:rsidRDefault="004D38A2" w:rsidP="0067394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F74979">
        <w:rPr>
          <w:rFonts w:ascii="Calibri" w:eastAsia="Times New Roman" w:hAnsi="Calibri" w:cs="Calibri"/>
          <w:color w:val="000000"/>
        </w:rPr>
        <w:t>smanjiti broj izostanaka učenika pogotovo neopravdanih izostanaka</w:t>
      </w:r>
    </w:p>
    <w:p w14:paraId="31B47F29" w14:textId="77777777" w:rsidR="004D38A2" w:rsidRPr="00F74979" w:rsidRDefault="004D38A2" w:rsidP="0067394C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747F099B" w14:textId="77777777" w:rsidR="004D38A2" w:rsidRPr="00F74979" w:rsidRDefault="004D38A2" w:rsidP="0067394C">
      <w:pPr>
        <w:spacing w:after="0" w:line="240" w:lineRule="auto"/>
        <w:jc w:val="both"/>
        <w:rPr>
          <w:rFonts w:ascii="Calibri" w:hAnsi="Calibri" w:cs="Calibri"/>
          <w:b/>
        </w:rPr>
      </w:pPr>
      <w:r w:rsidRPr="00F74979">
        <w:rPr>
          <w:rFonts w:ascii="Calibri" w:hAnsi="Calibri" w:cs="Calibri"/>
        </w:rPr>
        <w:t>Školski kurikulum služi svim nositeljima odgojno–obrazovnog procesa u školi: nastavnicima, stručnim suradnicima, ravnatelju, ali i svim sudionicima i korisnicima odgoja i obrazovanja: učenicima, odraslim polaznicima, roditeljima, lokalnoj zajednici, udrugama i sl.</w:t>
      </w:r>
    </w:p>
    <w:p w14:paraId="48A0649D" w14:textId="77777777" w:rsidR="00C04A06" w:rsidRPr="00F74979" w:rsidRDefault="00C04A06" w:rsidP="0067394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4C40A4B0" w14:textId="77777777" w:rsidR="00956A13" w:rsidRPr="00F74979" w:rsidRDefault="00956A13" w:rsidP="0067394C">
      <w:pPr>
        <w:spacing w:after="0" w:line="240" w:lineRule="auto"/>
        <w:jc w:val="both"/>
        <w:rPr>
          <w:rFonts w:ascii="Calibri" w:hAnsi="Calibri" w:cs="Calibri"/>
          <w:b/>
          <w:highlight w:val="magenta"/>
        </w:rPr>
      </w:pPr>
    </w:p>
    <w:p w14:paraId="66FAE2FB" w14:textId="77777777" w:rsidR="00B36200" w:rsidRPr="00F74979" w:rsidRDefault="00565359" w:rsidP="0067394C">
      <w:pPr>
        <w:spacing w:after="0" w:line="240" w:lineRule="auto"/>
        <w:jc w:val="both"/>
        <w:rPr>
          <w:rFonts w:ascii="Calibri" w:hAnsi="Calibri" w:cs="Calibri"/>
          <w:bCs/>
          <w:iCs/>
        </w:rPr>
      </w:pPr>
      <w:r w:rsidRPr="00F74979">
        <w:rPr>
          <w:rFonts w:ascii="Calibri" w:hAnsi="Calibri" w:cs="Calibri"/>
          <w:b/>
        </w:rPr>
        <w:t xml:space="preserve">POVEZANOST </w:t>
      </w:r>
      <w:r w:rsidR="008F50BE" w:rsidRPr="00F74979">
        <w:rPr>
          <w:rFonts w:ascii="Calibri" w:hAnsi="Calibri" w:cs="Calibri"/>
          <w:b/>
        </w:rPr>
        <w:t xml:space="preserve">PROGRAMA </w:t>
      </w:r>
      <w:r w:rsidRPr="00F74979">
        <w:rPr>
          <w:rFonts w:ascii="Calibri" w:hAnsi="Calibri" w:cs="Calibri"/>
          <w:b/>
        </w:rPr>
        <w:t xml:space="preserve">SA STRATEŠKIM DOKUMENTIMA: </w:t>
      </w:r>
    </w:p>
    <w:p w14:paraId="41E2985E" w14:textId="77777777" w:rsidR="004D38A2" w:rsidRPr="00F74979" w:rsidRDefault="004D38A2" w:rsidP="0067394C">
      <w:pPr>
        <w:spacing w:after="0" w:line="240" w:lineRule="auto"/>
        <w:jc w:val="both"/>
        <w:rPr>
          <w:rFonts w:ascii="Calibri" w:hAnsi="Calibri" w:cs="Calibri"/>
          <w:b/>
          <w:color w:val="FF0000"/>
        </w:rPr>
      </w:pPr>
      <w:r w:rsidRPr="00F74979">
        <w:rPr>
          <w:rFonts w:ascii="Calibri" w:hAnsi="Calibri" w:cs="Calibri"/>
          <w:bCs/>
          <w:iCs/>
        </w:rPr>
        <w:t>Program omogućava provođenje plana</w:t>
      </w:r>
      <w:r w:rsidRPr="00F74979">
        <w:rPr>
          <w:rFonts w:ascii="Calibri" w:hAnsi="Calibri" w:cs="Calibri"/>
        </w:rPr>
        <w:t xml:space="preserve"> stručnog usavršavanja nastavnika</w:t>
      </w:r>
      <w:r w:rsidRPr="00F74979">
        <w:rPr>
          <w:rFonts w:ascii="Calibri" w:hAnsi="Calibri" w:cs="Calibri"/>
          <w:bCs/>
          <w:iCs/>
        </w:rPr>
        <w:t xml:space="preserve"> i svih odgojno-obrazovnih aktivnosti prema kalendaru aktivnosti za školsku godinu koji su definirani Godišnjim planom i programom te Školskim kurikululom za pojedinu školsku godinu. </w:t>
      </w:r>
    </w:p>
    <w:p w14:paraId="2CFC182E" w14:textId="77777777" w:rsidR="00D73B33" w:rsidRPr="00F74979" w:rsidRDefault="00D73B33" w:rsidP="0067394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E3861DE" w14:textId="77777777" w:rsidR="00434AEE" w:rsidRPr="00F74979" w:rsidRDefault="00434AEE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  <w:b/>
        </w:rPr>
        <w:t>ZAKONSKE I DRUGE PODLOGE NA KOJIMA SE PROGRAM ZASNIVA:</w:t>
      </w:r>
    </w:p>
    <w:p w14:paraId="340F7497" w14:textId="77777777" w:rsidR="004D38A2" w:rsidRPr="00F74979" w:rsidRDefault="004D38A2" w:rsidP="0067394C">
      <w:pPr>
        <w:pStyle w:val="Naslov3"/>
        <w:spacing w:before="0" w:beforeAutospacing="0" w:after="0" w:afterAutospacing="0"/>
        <w:jc w:val="both"/>
        <w:textAlignment w:val="baseline"/>
        <w:rPr>
          <w:rFonts w:ascii="Calibri" w:hAnsi="Calibri" w:cs="Calibri"/>
          <w:b w:val="0"/>
          <w:color w:val="000000"/>
          <w:sz w:val="22"/>
          <w:szCs w:val="22"/>
        </w:rPr>
      </w:pPr>
      <w:r w:rsidRPr="00F74979">
        <w:rPr>
          <w:rFonts w:ascii="Calibri" w:hAnsi="Calibri" w:cs="Calibri"/>
          <w:b w:val="0"/>
          <w:bCs w:val="0"/>
          <w:sz w:val="22"/>
          <w:szCs w:val="22"/>
        </w:rPr>
        <w:t>- Zakon o proračunu RH (NN, broj 87/08, 136/12, 15/15,</w:t>
      </w:r>
      <w:r w:rsidRPr="00F74979">
        <w:rPr>
          <w:rFonts w:ascii="Calibri" w:hAnsi="Calibri" w:cs="Calibri"/>
          <w:b w:val="0"/>
          <w:color w:val="000000"/>
          <w:sz w:val="22"/>
          <w:szCs w:val="22"/>
        </w:rPr>
        <w:t xml:space="preserve"> 144/21</w:t>
      </w:r>
      <w:r w:rsidRPr="00F74979">
        <w:rPr>
          <w:rFonts w:ascii="Calibri" w:hAnsi="Calibri" w:cs="Calibri"/>
          <w:b w:val="0"/>
          <w:bCs w:val="0"/>
          <w:sz w:val="22"/>
          <w:szCs w:val="22"/>
        </w:rPr>
        <w:t>)</w:t>
      </w:r>
    </w:p>
    <w:p w14:paraId="4FF890C2" w14:textId="77777777" w:rsidR="004D38A2" w:rsidRPr="00F74979" w:rsidRDefault="004D38A2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>- Zakon o odgoju i obrazovanju u osnovnim i srednjim školama (NN, broj 94/13,152/14, 68/18,</w:t>
      </w:r>
      <w:r w:rsidRPr="00F74979">
        <w:rPr>
          <w:rFonts w:ascii="Calibri" w:eastAsia="Times New Roman" w:hAnsi="Calibri" w:cs="Calibri"/>
          <w:bCs/>
          <w:color w:val="000000"/>
        </w:rPr>
        <w:t xml:space="preserve"> 64/20</w:t>
      </w:r>
      <w:r w:rsidRPr="00F74979">
        <w:rPr>
          <w:rFonts w:ascii="Calibri" w:hAnsi="Calibri" w:cs="Calibri"/>
          <w:bCs/>
        </w:rPr>
        <w:t>)</w:t>
      </w:r>
    </w:p>
    <w:p w14:paraId="0DD63C65" w14:textId="77777777" w:rsidR="004D38A2" w:rsidRPr="00F74979" w:rsidRDefault="004D38A2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>- Uredba o načinu izračuna iznosa pomoći izravnanja za decentralizirane funkcije jedinica   lokalne i područne (regionalne) samouprave (NN, broj 148/20)</w:t>
      </w:r>
    </w:p>
    <w:p w14:paraId="6ED7A0F7" w14:textId="77777777" w:rsidR="004D38A2" w:rsidRPr="00F74979" w:rsidRDefault="004D38A2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>- Državni pedagoški standard srednjoškolskog sustava odgoja i obrazovanja (NN, broj 63/08, 90/10)</w:t>
      </w:r>
    </w:p>
    <w:p w14:paraId="61471F5C" w14:textId="77777777" w:rsidR="004D38A2" w:rsidRPr="00F74979" w:rsidRDefault="004D38A2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>- Temeljni kolektivni ugovor za javne službenike i namještenike (NN56/22)</w:t>
      </w:r>
    </w:p>
    <w:p w14:paraId="008B018A" w14:textId="77777777" w:rsidR="004D38A2" w:rsidRPr="00F74979" w:rsidRDefault="004D38A2" w:rsidP="0067394C">
      <w:pPr>
        <w:pStyle w:val="Naslov2"/>
        <w:shd w:val="clear" w:color="auto" w:fill="FFFFFF"/>
        <w:spacing w:before="0" w:line="240" w:lineRule="auto"/>
        <w:jc w:val="both"/>
        <w:textAlignment w:val="baseline"/>
        <w:rPr>
          <w:rFonts w:ascii="Calibri" w:eastAsiaTheme="minorHAnsi" w:hAnsi="Calibri" w:cs="Calibri"/>
          <w:b w:val="0"/>
          <w:color w:val="auto"/>
          <w:sz w:val="22"/>
          <w:szCs w:val="22"/>
        </w:rPr>
      </w:pPr>
      <w:r w:rsidRPr="00F74979">
        <w:rPr>
          <w:rFonts w:ascii="Calibri" w:eastAsiaTheme="minorHAnsi" w:hAnsi="Calibri" w:cs="Calibri"/>
          <w:b w:val="0"/>
          <w:color w:val="auto"/>
          <w:sz w:val="22"/>
          <w:szCs w:val="22"/>
        </w:rPr>
        <w:t>- Kolektivni ugovor za zaposlenike u srednjoškolskim ustanovama (NN 51/18)</w:t>
      </w:r>
    </w:p>
    <w:p w14:paraId="6FC6BAEF" w14:textId="77777777" w:rsidR="004D38A2" w:rsidRPr="00F74979" w:rsidRDefault="004D38A2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>- Odluka o kriterijima, mjerilima i načinu financiranja decentraliziranih funkcija u srednjim školama i učeničkim domovima u 2023. godini kojima je Karlovačka županija osnivač (Glasnik KŽ 54b/2022)</w:t>
      </w:r>
    </w:p>
    <w:p w14:paraId="35FE5EAF" w14:textId="77777777" w:rsidR="00662460" w:rsidRPr="00F74979" w:rsidRDefault="00662460" w:rsidP="0067394C">
      <w:pPr>
        <w:spacing w:after="0" w:line="240" w:lineRule="auto"/>
        <w:jc w:val="both"/>
        <w:rPr>
          <w:rFonts w:ascii="Calibri" w:hAnsi="Calibri" w:cs="Calibri"/>
          <w:highlight w:val="yellow"/>
        </w:rPr>
      </w:pPr>
    </w:p>
    <w:p w14:paraId="7A832854" w14:textId="77777777" w:rsidR="005535A8" w:rsidRPr="00F74979" w:rsidRDefault="008C3520" w:rsidP="0067394C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  <w:r w:rsidRPr="00F74979">
        <w:rPr>
          <w:rFonts w:ascii="Calibri" w:hAnsi="Calibri" w:cs="Calibri"/>
          <w:b/>
          <w:bCs/>
          <w:u w:val="single"/>
        </w:rPr>
        <w:t>IZVRŠENJE PROGRAMA S OSVRTOM NA CILJEVE KOJI SU OSTVARENI NJEGOVOM PROVEDBOM</w:t>
      </w:r>
    </w:p>
    <w:p w14:paraId="14AF06AB" w14:textId="77777777" w:rsidR="00FA07E7" w:rsidRPr="00F74979" w:rsidRDefault="00FA07E7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>Obzirom da se radi o strukovno školi sa mnogo različitih zanimanja, a malim brojem naučničkih mjesta u poduzećima u kojima mogu pohađati praktični dio nastave veliki problem je postizanje optimalnog broja razrednih odjela u odnosu na broj učenika prema Državnom pedagoškom standardu. Pošto postoji malo poduzeća i obrta koji su licencirani i imaju mogućnost primanja učenika na praksu broj upisanih učenika po pojedinom zanimanju je mali pa je zbog toga više razrednih odjela, a također zbog toga što nije moguće organizirati nastavu spajanjem više od tri smjera u jedan razredni odjel postoji više razrednih odjela nego što je predviđeno prema Državnom pedagoškom standardu. Cilj škole je pojačati aktivnosti promocije zanimanja među potencijalnim budućim učenicima,ali i poslodavcima kako bi se učenike potaknulo na obrazovanje u strukovnim zanimanjima,a poslodavce da se licenciraju kako bi mogli primati učenike na praksu i na taj način si osigurati kvalitetnu radnu snagu u budućnosti.</w:t>
      </w:r>
    </w:p>
    <w:p w14:paraId="199F942F" w14:textId="77777777" w:rsidR="00C31E85" w:rsidRPr="00F74979" w:rsidRDefault="00C31E85" w:rsidP="0067394C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1A047C2F" w14:textId="77777777" w:rsidR="002F0E55" w:rsidRPr="00F74979" w:rsidRDefault="002F0E55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 xml:space="preserve">Ciljevi poboljšanja materijalno-tehničkih uvjeta u školi u cilju poboljšanja završnog uspjeha učenika na kraju školske godine te cilj smanjenja neopravdanih izostanaka trenutno nisu mjerljivi jer u strukovnom </w:t>
      </w:r>
      <w:r w:rsidRPr="00F74979">
        <w:rPr>
          <w:rFonts w:ascii="Calibri" w:hAnsi="Calibri" w:cs="Calibri"/>
          <w:bCs/>
        </w:rPr>
        <w:lastRenderedPageBreak/>
        <w:t>obrazovanju je kraj školske godine 31.8. jer su učenici dužni još odraditi praksu kod poslodavaca i predati potrebne mape obavljene praktične nastave, tako da je završne podatke o kraju školske godine moguće dati tek nakon 31. 8.</w:t>
      </w:r>
    </w:p>
    <w:p w14:paraId="391CD7E3" w14:textId="77777777" w:rsidR="002F0E55" w:rsidRPr="00F74979" w:rsidRDefault="002F0E55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 xml:space="preserve">Ciljevi usklađenosti s Državnim pedagoškim standardom u pogledu broja učenika u razrednom odjelu, broja učenika u školi  i broja razrednih odjela su definirani na godišnjoj razini te su </w:t>
      </w:r>
      <w:r w:rsidR="009932AE" w:rsidRPr="00F74979">
        <w:rPr>
          <w:rFonts w:ascii="Calibri" w:hAnsi="Calibri" w:cs="Calibri"/>
          <w:bCs/>
        </w:rPr>
        <w:t>sada iskazane trenutne vrijednosti koje će se već nakon upisa prvih razreda  promijeniti te će dati bolji pogled na postignute ciljeve nakon upisa nove generacije učenika.</w:t>
      </w:r>
    </w:p>
    <w:p w14:paraId="2292FDE0" w14:textId="77777777" w:rsidR="009932AE" w:rsidRPr="00F74979" w:rsidRDefault="009932AE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>Trenutno nije sklopljen niti jedan novi ugovor sa poslodavcima za obavljanje stručne prakse.</w:t>
      </w:r>
    </w:p>
    <w:p w14:paraId="7C224F1E" w14:textId="77777777" w:rsidR="009932AE" w:rsidRPr="00F74979" w:rsidRDefault="009932AE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>Škola nije imala potreba za hitnim intervencijama već se redovnim održavanjem vodi računa o zgradi i opremi.</w:t>
      </w:r>
      <w:r w:rsidR="00C31E85" w:rsidRPr="00F74979">
        <w:rPr>
          <w:rFonts w:ascii="Calibri" w:hAnsi="Calibri" w:cs="Calibri"/>
          <w:bCs/>
        </w:rPr>
        <w:t xml:space="preserve"> Također, nije ispunjen postavljeni cilj prelaska u jednu smjenu zbog toga što se još nisu osigurali prostorni uvjeti za održavanje nastave u jednoj smjeni. Još uvijek se čekaju službeni rezultati natječaja na koji je Škola aplicirala, a u vezi financiranja izrade projektne dokumentacije za proširenje i uređenje prostora Škole. Kupljena je zgrada, ali se čeka uređenje i stavljanje u funkciju obrazovanja.</w:t>
      </w:r>
    </w:p>
    <w:p w14:paraId="4B421C72" w14:textId="77777777" w:rsidR="00C31E85" w:rsidRPr="00F74979" w:rsidRDefault="00C31E85" w:rsidP="0067394C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424A26A4" w14:textId="77777777" w:rsidR="000A3D39" w:rsidRPr="00F74979" w:rsidRDefault="000A3D39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 xml:space="preserve">U sklopu aktivnosti </w:t>
      </w:r>
      <w:r w:rsidRPr="00F74979">
        <w:rPr>
          <w:rFonts w:ascii="Calibri" w:hAnsi="Calibri" w:cs="Calibri"/>
          <w:b/>
          <w:bCs/>
        </w:rPr>
        <w:t>A100037 Odgojnoobrazovno, administrativno i tehničko osoblje</w:t>
      </w:r>
      <w:r w:rsidRPr="00F74979">
        <w:rPr>
          <w:rFonts w:ascii="Calibri" w:hAnsi="Calibri" w:cs="Calibri"/>
          <w:bCs/>
        </w:rPr>
        <w:t xml:space="preserve"> ukupno je ostvareno 19.626,89 EUR, odnosno 51,68% godišnjeg plana i to rashoda za stručno usavršavanje djelatnika 3.909,10 EUR, za rashode za uredski materijal i higijenski materijal i materijal za čišćenje,energiju, materijal za održavanje i službenu odjeću 5.648,51 EUR, za usluge (režijski troškovi ) 9.031,94 EUR, za ostale rashode (članarine, reprezentaciju, pristojbe i ostalo) 777,70 EUR, te za bankarske usluge 259,64 EUR. </w:t>
      </w:r>
    </w:p>
    <w:p w14:paraId="31B94AA1" w14:textId="77777777" w:rsidR="00416938" w:rsidRPr="00F74979" w:rsidRDefault="000A3D39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 xml:space="preserve">U sklopu aktivnosti </w:t>
      </w:r>
      <w:r w:rsidRPr="00F74979">
        <w:rPr>
          <w:rFonts w:ascii="Calibri" w:hAnsi="Calibri" w:cs="Calibri"/>
          <w:b/>
          <w:bCs/>
        </w:rPr>
        <w:t>A1</w:t>
      </w:r>
      <w:r w:rsidR="00C72056" w:rsidRPr="00F74979">
        <w:rPr>
          <w:rFonts w:ascii="Calibri" w:hAnsi="Calibri" w:cs="Calibri"/>
          <w:b/>
          <w:bCs/>
        </w:rPr>
        <w:t xml:space="preserve">00037A </w:t>
      </w:r>
      <w:r w:rsidRPr="00F74979">
        <w:rPr>
          <w:rFonts w:ascii="Calibri" w:hAnsi="Calibri" w:cs="Calibri"/>
          <w:bCs/>
        </w:rPr>
        <w:t xml:space="preserve"> </w:t>
      </w:r>
      <w:r w:rsidR="00C72056" w:rsidRPr="00F74979">
        <w:rPr>
          <w:rFonts w:ascii="Calibri" w:hAnsi="Calibri" w:cs="Calibri"/>
          <w:b/>
          <w:bCs/>
        </w:rPr>
        <w:t xml:space="preserve">Odgojnoobrazovno, administrativno i tehničko osoblje – </w:t>
      </w:r>
      <w:r w:rsidR="00416938" w:rsidRPr="00F74979">
        <w:rPr>
          <w:rFonts w:ascii="Calibri" w:hAnsi="Calibri" w:cs="Calibri"/>
          <w:b/>
          <w:bCs/>
        </w:rPr>
        <w:t xml:space="preserve"> posebni dio</w:t>
      </w:r>
      <w:r w:rsidR="00416938" w:rsidRPr="00F74979">
        <w:rPr>
          <w:rFonts w:ascii="Calibri" w:hAnsi="Calibri" w:cs="Calibri"/>
          <w:bCs/>
        </w:rPr>
        <w:t xml:space="preserve"> ostvareno je ukupno 36.465,87 EUR rashoda, odnosno 41,91% godišnjeg plana, i to 23.023,28 EUR za prijevoz zaposlenika, 11.776,57 EUR za nastavni materijal i električnu energiju i plin, te 1.666,02 EUR za naknadu e-tehničaru zdravstvene usluge i redovne ateste i ispitivanja.</w:t>
      </w:r>
    </w:p>
    <w:p w14:paraId="2C70CF4B" w14:textId="77777777" w:rsidR="00416938" w:rsidRPr="00F74979" w:rsidRDefault="00416938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 xml:space="preserve">U sklopu aktivnosti </w:t>
      </w:r>
      <w:r w:rsidR="003842D8" w:rsidRPr="00F74979">
        <w:rPr>
          <w:rFonts w:ascii="Calibri" w:hAnsi="Calibri" w:cs="Calibri"/>
          <w:b/>
        </w:rPr>
        <w:t>A100038 O</w:t>
      </w:r>
      <w:r w:rsidRPr="00F74979">
        <w:rPr>
          <w:rFonts w:ascii="Calibri" w:hAnsi="Calibri" w:cs="Calibri"/>
          <w:b/>
          <w:bCs/>
        </w:rPr>
        <w:t>perativni plan TIO</w:t>
      </w:r>
      <w:r w:rsidRPr="00F74979">
        <w:rPr>
          <w:rFonts w:ascii="Calibri" w:hAnsi="Calibri" w:cs="Calibri"/>
          <w:bCs/>
        </w:rPr>
        <w:t xml:space="preserve"> nije bilo ostvarenih rashoda jer nije bilo potrebe za hitnim intervencijama u Školi.</w:t>
      </w:r>
    </w:p>
    <w:p w14:paraId="7ECD2AB0" w14:textId="77777777" w:rsidR="00416938" w:rsidRPr="00F74979" w:rsidRDefault="00416938" w:rsidP="0067394C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FEB95DB" w14:textId="77777777" w:rsidR="00416938" w:rsidRPr="00F74979" w:rsidRDefault="00416938" w:rsidP="0067394C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F74979">
        <w:rPr>
          <w:rFonts w:ascii="Calibri" w:hAnsi="Calibri" w:cs="Calibri"/>
          <w:bCs/>
        </w:rPr>
        <w:t>U prvoj polovici godine je ostvareno 53.110,72 EUR prihoda za pokriće otvorenih obveza na kraju 2022. I tekuće obveze u 2023. godini.</w:t>
      </w:r>
    </w:p>
    <w:p w14:paraId="2BE0A609" w14:textId="77777777" w:rsidR="00416938" w:rsidRPr="00F74979" w:rsidRDefault="00416938" w:rsidP="003842D8">
      <w:pPr>
        <w:spacing w:after="0" w:line="240" w:lineRule="auto"/>
        <w:jc w:val="both"/>
        <w:rPr>
          <w:rFonts w:ascii="Calibri" w:hAnsi="Calibri" w:cs="Calibri"/>
          <w:b/>
          <w:bCs/>
          <w:highlight w:val="magenta"/>
        </w:rPr>
      </w:pPr>
    </w:p>
    <w:p w14:paraId="644E78F1" w14:textId="77777777" w:rsidR="00E80D60" w:rsidRPr="00F74979" w:rsidRDefault="00E80D60" w:rsidP="00662460">
      <w:pPr>
        <w:spacing w:after="0" w:line="240" w:lineRule="auto"/>
        <w:rPr>
          <w:rFonts w:cstheme="minorHAnsi"/>
          <w:b/>
          <w:bCs/>
        </w:rPr>
      </w:pPr>
      <w:r w:rsidRPr="00F74979">
        <w:rPr>
          <w:rFonts w:cstheme="minorHAnsi"/>
          <w:b/>
          <w:bCs/>
        </w:rPr>
        <w:t>IZVRŠENJE FINANCIJSKOG PLANA</w:t>
      </w:r>
      <w:r w:rsidR="000A3913" w:rsidRPr="00F74979">
        <w:rPr>
          <w:rFonts w:cstheme="minorHAnsi"/>
          <w:b/>
          <w:bCs/>
        </w:rPr>
        <w:t xml:space="preserve"> ZA SIJEČANJ-LIPANJ 2023.</w:t>
      </w:r>
    </w:p>
    <w:tbl>
      <w:tblPr>
        <w:tblStyle w:val="Reetkatablice"/>
        <w:tblW w:w="10148" w:type="dxa"/>
        <w:tblLayout w:type="fixed"/>
        <w:tblLook w:val="04A0" w:firstRow="1" w:lastRow="0" w:firstColumn="1" w:lastColumn="0" w:noHBand="0" w:noVBand="1"/>
      </w:tblPr>
      <w:tblGrid>
        <w:gridCol w:w="550"/>
        <w:gridCol w:w="2719"/>
        <w:gridCol w:w="1330"/>
        <w:gridCol w:w="1210"/>
        <w:gridCol w:w="1169"/>
        <w:gridCol w:w="1314"/>
        <w:gridCol w:w="939"/>
        <w:gridCol w:w="917"/>
      </w:tblGrid>
      <w:tr w:rsidR="002B21B5" w:rsidRPr="00F74979" w14:paraId="0F17F8AF" w14:textId="77777777" w:rsidTr="000A299D">
        <w:trPr>
          <w:trHeight w:val="1075"/>
        </w:trPr>
        <w:tc>
          <w:tcPr>
            <w:tcW w:w="550" w:type="dxa"/>
          </w:tcPr>
          <w:p w14:paraId="31828EF1" w14:textId="77777777" w:rsidR="002B21B5" w:rsidRPr="00F74979" w:rsidRDefault="002B21B5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718" w:type="dxa"/>
          </w:tcPr>
          <w:p w14:paraId="78B281C6" w14:textId="77777777" w:rsidR="002B21B5" w:rsidRPr="00F74979" w:rsidRDefault="002B21B5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330" w:type="dxa"/>
          </w:tcPr>
          <w:p w14:paraId="73297B0B" w14:textId="77777777" w:rsidR="002B21B5" w:rsidRPr="00F74979" w:rsidRDefault="002B21B5" w:rsidP="006E7B89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1210" w:type="dxa"/>
          </w:tcPr>
          <w:p w14:paraId="1962476A" w14:textId="77777777" w:rsidR="002B21B5" w:rsidRPr="00F74979" w:rsidRDefault="002B21B5" w:rsidP="006E7B89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 xml:space="preserve">PLAN </w:t>
            </w:r>
          </w:p>
          <w:p w14:paraId="6A5A6F11" w14:textId="77777777" w:rsidR="002B21B5" w:rsidRPr="00F74979" w:rsidRDefault="002B21B5" w:rsidP="006E7B89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69" w:type="dxa"/>
          </w:tcPr>
          <w:p w14:paraId="2A63DCE8" w14:textId="77777777" w:rsidR="002B21B5" w:rsidRPr="00F74979" w:rsidRDefault="002B21B5" w:rsidP="002B21B5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 xml:space="preserve">I REBALANS </w:t>
            </w:r>
          </w:p>
          <w:p w14:paraId="541E822D" w14:textId="77777777" w:rsidR="002B21B5" w:rsidRPr="00F74979" w:rsidRDefault="002B21B5" w:rsidP="002B21B5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14" w:type="dxa"/>
          </w:tcPr>
          <w:p w14:paraId="3174E6A5" w14:textId="77777777" w:rsidR="002B21B5" w:rsidRPr="00F74979" w:rsidRDefault="002B21B5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939" w:type="dxa"/>
          </w:tcPr>
          <w:p w14:paraId="6CC109CD" w14:textId="77777777" w:rsidR="002B21B5" w:rsidRPr="00F74979" w:rsidRDefault="002B21B5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INDEKS %</w:t>
            </w:r>
          </w:p>
          <w:p w14:paraId="44A1F0B6" w14:textId="77777777" w:rsidR="004D38A2" w:rsidRPr="00F74979" w:rsidRDefault="004D38A2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917" w:type="dxa"/>
          </w:tcPr>
          <w:p w14:paraId="139C5E0C" w14:textId="77777777" w:rsidR="002B21B5" w:rsidRPr="00F74979" w:rsidRDefault="002B21B5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INDEKS %</w:t>
            </w:r>
          </w:p>
          <w:p w14:paraId="70D0A35C" w14:textId="77777777" w:rsidR="004D38A2" w:rsidRPr="00F74979" w:rsidRDefault="004D38A2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6/5</w:t>
            </w:r>
          </w:p>
        </w:tc>
      </w:tr>
      <w:tr w:rsidR="002B21B5" w:rsidRPr="00F74979" w14:paraId="38B18CF2" w14:textId="77777777" w:rsidTr="000A299D">
        <w:trPr>
          <w:trHeight w:val="263"/>
        </w:trPr>
        <w:tc>
          <w:tcPr>
            <w:tcW w:w="550" w:type="dxa"/>
          </w:tcPr>
          <w:p w14:paraId="25AC1995" w14:textId="77777777" w:rsidR="002B21B5" w:rsidRPr="00F7497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718" w:type="dxa"/>
          </w:tcPr>
          <w:p w14:paraId="565E31F5" w14:textId="77777777" w:rsidR="002B21B5" w:rsidRPr="00F7497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30" w:type="dxa"/>
          </w:tcPr>
          <w:p w14:paraId="76AF731F" w14:textId="77777777" w:rsidR="002B21B5" w:rsidRPr="00F7497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10" w:type="dxa"/>
          </w:tcPr>
          <w:p w14:paraId="43E0546A" w14:textId="77777777" w:rsidR="002B21B5" w:rsidRPr="00F7497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69" w:type="dxa"/>
          </w:tcPr>
          <w:p w14:paraId="10132C92" w14:textId="77777777" w:rsidR="002B21B5" w:rsidRPr="00F7497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14" w:type="dxa"/>
          </w:tcPr>
          <w:p w14:paraId="4AA18A25" w14:textId="77777777" w:rsidR="002B21B5" w:rsidRPr="00F7497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39" w:type="dxa"/>
          </w:tcPr>
          <w:p w14:paraId="323D949E" w14:textId="77777777" w:rsidR="002B21B5" w:rsidRPr="00F7497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17" w:type="dxa"/>
          </w:tcPr>
          <w:p w14:paraId="7F7B4FCE" w14:textId="77777777" w:rsidR="002B21B5" w:rsidRPr="00F74979" w:rsidRDefault="002B21B5" w:rsidP="006E7B89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8</w:t>
            </w:r>
          </w:p>
        </w:tc>
      </w:tr>
      <w:tr w:rsidR="002B21B5" w:rsidRPr="00F74979" w14:paraId="65712907" w14:textId="77777777" w:rsidTr="000A299D">
        <w:trPr>
          <w:trHeight w:val="813"/>
        </w:trPr>
        <w:tc>
          <w:tcPr>
            <w:tcW w:w="550" w:type="dxa"/>
          </w:tcPr>
          <w:p w14:paraId="0E78E42D" w14:textId="77777777" w:rsidR="002B21B5" w:rsidRPr="00F74979" w:rsidRDefault="002B21B5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1.</w:t>
            </w:r>
          </w:p>
        </w:tc>
        <w:tc>
          <w:tcPr>
            <w:tcW w:w="2718" w:type="dxa"/>
          </w:tcPr>
          <w:p w14:paraId="4ED65808" w14:textId="77777777" w:rsidR="002B21B5" w:rsidRPr="00F74979" w:rsidRDefault="004D38A2" w:rsidP="004D38A2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 xml:space="preserve">A100037 </w:t>
            </w:r>
            <w:r w:rsidR="00D506BF" w:rsidRPr="00F74979">
              <w:rPr>
                <w:rFonts w:cstheme="minorHAnsi"/>
              </w:rPr>
              <w:t>Odgojnoobrazovno</w:t>
            </w:r>
            <w:r w:rsidRPr="00F74979">
              <w:rPr>
                <w:rFonts w:cstheme="minorHAnsi"/>
              </w:rPr>
              <w:t xml:space="preserve">, administrativno i tehničko osoblje </w:t>
            </w:r>
          </w:p>
        </w:tc>
        <w:tc>
          <w:tcPr>
            <w:tcW w:w="1330" w:type="dxa"/>
          </w:tcPr>
          <w:p w14:paraId="0FFC01E7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19.318,55</w:t>
            </w:r>
          </w:p>
        </w:tc>
        <w:tc>
          <w:tcPr>
            <w:tcW w:w="1210" w:type="dxa"/>
          </w:tcPr>
          <w:p w14:paraId="51E1A9F9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38.100,00</w:t>
            </w:r>
          </w:p>
        </w:tc>
        <w:tc>
          <w:tcPr>
            <w:tcW w:w="1169" w:type="dxa"/>
          </w:tcPr>
          <w:p w14:paraId="594291FE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37.980,00</w:t>
            </w:r>
          </w:p>
        </w:tc>
        <w:tc>
          <w:tcPr>
            <w:tcW w:w="1314" w:type="dxa"/>
          </w:tcPr>
          <w:p w14:paraId="69E7A3A0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19.626,89</w:t>
            </w:r>
          </w:p>
        </w:tc>
        <w:tc>
          <w:tcPr>
            <w:tcW w:w="939" w:type="dxa"/>
          </w:tcPr>
          <w:p w14:paraId="767D0F9B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101,6</w:t>
            </w:r>
          </w:p>
        </w:tc>
        <w:tc>
          <w:tcPr>
            <w:tcW w:w="917" w:type="dxa"/>
          </w:tcPr>
          <w:p w14:paraId="36CCAF63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51,68</w:t>
            </w:r>
          </w:p>
        </w:tc>
      </w:tr>
      <w:tr w:rsidR="002B21B5" w:rsidRPr="00F74979" w14:paraId="1E157FB9" w14:textId="77777777" w:rsidTr="000A299D">
        <w:trPr>
          <w:trHeight w:val="1062"/>
        </w:trPr>
        <w:tc>
          <w:tcPr>
            <w:tcW w:w="550" w:type="dxa"/>
          </w:tcPr>
          <w:p w14:paraId="413FD6FF" w14:textId="77777777" w:rsidR="002B21B5" w:rsidRPr="00F74979" w:rsidRDefault="002B21B5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2.</w:t>
            </w:r>
          </w:p>
        </w:tc>
        <w:tc>
          <w:tcPr>
            <w:tcW w:w="2718" w:type="dxa"/>
          </w:tcPr>
          <w:p w14:paraId="4927CC3A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A100037A Odgojnoobrazovno, administrativno i tehničko osoblje – POSEBNI DIO</w:t>
            </w:r>
          </w:p>
        </w:tc>
        <w:tc>
          <w:tcPr>
            <w:tcW w:w="1330" w:type="dxa"/>
          </w:tcPr>
          <w:p w14:paraId="16D2B3E0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40.237,05</w:t>
            </w:r>
          </w:p>
        </w:tc>
        <w:tc>
          <w:tcPr>
            <w:tcW w:w="1210" w:type="dxa"/>
          </w:tcPr>
          <w:p w14:paraId="2C4B53F2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87.000,00</w:t>
            </w:r>
          </w:p>
        </w:tc>
        <w:tc>
          <w:tcPr>
            <w:tcW w:w="1169" w:type="dxa"/>
          </w:tcPr>
          <w:p w14:paraId="60E02DE6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87.000,00</w:t>
            </w:r>
          </w:p>
        </w:tc>
        <w:tc>
          <w:tcPr>
            <w:tcW w:w="1314" w:type="dxa"/>
          </w:tcPr>
          <w:p w14:paraId="134DB93C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36.465,87</w:t>
            </w:r>
          </w:p>
        </w:tc>
        <w:tc>
          <w:tcPr>
            <w:tcW w:w="939" w:type="dxa"/>
          </w:tcPr>
          <w:p w14:paraId="27C7DCC2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90,63</w:t>
            </w:r>
          </w:p>
        </w:tc>
        <w:tc>
          <w:tcPr>
            <w:tcW w:w="917" w:type="dxa"/>
          </w:tcPr>
          <w:p w14:paraId="396CCD87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41,91</w:t>
            </w:r>
          </w:p>
        </w:tc>
      </w:tr>
      <w:tr w:rsidR="002B21B5" w:rsidRPr="00F74979" w14:paraId="05D2D62E" w14:textId="77777777" w:rsidTr="000A299D">
        <w:trPr>
          <w:trHeight w:val="537"/>
        </w:trPr>
        <w:tc>
          <w:tcPr>
            <w:tcW w:w="550" w:type="dxa"/>
          </w:tcPr>
          <w:p w14:paraId="39D1A137" w14:textId="77777777" w:rsidR="002B21B5" w:rsidRPr="00F74979" w:rsidRDefault="002B21B5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3.</w:t>
            </w:r>
          </w:p>
        </w:tc>
        <w:tc>
          <w:tcPr>
            <w:tcW w:w="2718" w:type="dxa"/>
          </w:tcPr>
          <w:p w14:paraId="3A229FFC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 xml:space="preserve">A100038 </w:t>
            </w:r>
            <w:r w:rsidR="00D506BF" w:rsidRPr="00F74979">
              <w:rPr>
                <w:rFonts w:cstheme="minorHAnsi"/>
              </w:rPr>
              <w:t>Operativni plan</w:t>
            </w:r>
            <w:r w:rsidRPr="00F74979">
              <w:rPr>
                <w:rFonts w:cstheme="minorHAnsi"/>
              </w:rPr>
              <w:t xml:space="preserve"> TIO - SŠ</w:t>
            </w:r>
          </w:p>
        </w:tc>
        <w:tc>
          <w:tcPr>
            <w:tcW w:w="1330" w:type="dxa"/>
          </w:tcPr>
          <w:p w14:paraId="5D605AB1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235,42</w:t>
            </w:r>
          </w:p>
        </w:tc>
        <w:tc>
          <w:tcPr>
            <w:tcW w:w="1210" w:type="dxa"/>
          </w:tcPr>
          <w:p w14:paraId="54841177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5.000,00</w:t>
            </w:r>
          </w:p>
        </w:tc>
        <w:tc>
          <w:tcPr>
            <w:tcW w:w="1169" w:type="dxa"/>
          </w:tcPr>
          <w:p w14:paraId="699EE1E9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5.000,00</w:t>
            </w:r>
          </w:p>
        </w:tc>
        <w:tc>
          <w:tcPr>
            <w:tcW w:w="1314" w:type="dxa"/>
          </w:tcPr>
          <w:p w14:paraId="0F4DA620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39" w:type="dxa"/>
          </w:tcPr>
          <w:p w14:paraId="30EAE47B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17" w:type="dxa"/>
          </w:tcPr>
          <w:p w14:paraId="3E4C07C5" w14:textId="77777777" w:rsidR="002B21B5" w:rsidRPr="00F74979" w:rsidRDefault="004D38A2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</w:tr>
      <w:tr w:rsidR="00D506BF" w:rsidRPr="00F74979" w14:paraId="1043DEA8" w14:textId="77777777" w:rsidTr="000A299D">
        <w:trPr>
          <w:trHeight w:val="800"/>
        </w:trPr>
        <w:tc>
          <w:tcPr>
            <w:tcW w:w="550" w:type="dxa"/>
          </w:tcPr>
          <w:p w14:paraId="046F4C60" w14:textId="77777777" w:rsidR="00D506BF" w:rsidRPr="00F74979" w:rsidRDefault="00D506BF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4.</w:t>
            </w:r>
          </w:p>
        </w:tc>
        <w:tc>
          <w:tcPr>
            <w:tcW w:w="2718" w:type="dxa"/>
          </w:tcPr>
          <w:p w14:paraId="3CD1B20D" w14:textId="77777777" w:rsidR="00D506BF" w:rsidRPr="00F74979" w:rsidRDefault="000A299D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K100004 Nefinancijska imovina i investicijsko održavanje SŠ</w:t>
            </w:r>
          </w:p>
        </w:tc>
        <w:tc>
          <w:tcPr>
            <w:tcW w:w="1330" w:type="dxa"/>
          </w:tcPr>
          <w:p w14:paraId="53A878E2" w14:textId="77777777" w:rsidR="00D506BF" w:rsidRPr="00F74979" w:rsidRDefault="000A299D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95.294,98</w:t>
            </w:r>
          </w:p>
        </w:tc>
        <w:tc>
          <w:tcPr>
            <w:tcW w:w="1210" w:type="dxa"/>
          </w:tcPr>
          <w:p w14:paraId="01325FFB" w14:textId="77777777" w:rsidR="00D506BF" w:rsidRPr="00F74979" w:rsidRDefault="000A299D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1169" w:type="dxa"/>
          </w:tcPr>
          <w:p w14:paraId="0498C68D" w14:textId="77777777" w:rsidR="00D506BF" w:rsidRPr="00F74979" w:rsidRDefault="000A299D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1314" w:type="dxa"/>
          </w:tcPr>
          <w:p w14:paraId="7405C2B2" w14:textId="77777777" w:rsidR="00D506BF" w:rsidRPr="00F74979" w:rsidRDefault="000A299D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39" w:type="dxa"/>
          </w:tcPr>
          <w:p w14:paraId="1C0B2A33" w14:textId="77777777" w:rsidR="00D506BF" w:rsidRPr="00F74979" w:rsidRDefault="000A299D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17" w:type="dxa"/>
          </w:tcPr>
          <w:p w14:paraId="735EA098" w14:textId="77777777" w:rsidR="00D506BF" w:rsidRPr="00F74979" w:rsidRDefault="000A299D" w:rsidP="00662460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</w:tr>
      <w:tr w:rsidR="000A299D" w:rsidRPr="00F74979" w14:paraId="5E820C9B" w14:textId="77777777" w:rsidTr="000A299D">
        <w:trPr>
          <w:trHeight w:val="275"/>
        </w:trPr>
        <w:tc>
          <w:tcPr>
            <w:tcW w:w="3269" w:type="dxa"/>
            <w:gridSpan w:val="2"/>
          </w:tcPr>
          <w:p w14:paraId="16C19B31" w14:textId="77777777" w:rsidR="000A299D" w:rsidRPr="00F74979" w:rsidRDefault="000A299D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330" w:type="dxa"/>
          </w:tcPr>
          <w:p w14:paraId="1C6B5735" w14:textId="77777777" w:rsidR="000A299D" w:rsidRPr="00F74979" w:rsidRDefault="000A299D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155.086,00</w:t>
            </w:r>
          </w:p>
        </w:tc>
        <w:tc>
          <w:tcPr>
            <w:tcW w:w="1210" w:type="dxa"/>
          </w:tcPr>
          <w:p w14:paraId="5CFD4CC4" w14:textId="77777777" w:rsidR="000A299D" w:rsidRPr="00F74979" w:rsidRDefault="000A299D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130.100,00</w:t>
            </w:r>
          </w:p>
        </w:tc>
        <w:tc>
          <w:tcPr>
            <w:tcW w:w="1169" w:type="dxa"/>
          </w:tcPr>
          <w:p w14:paraId="7C76E419" w14:textId="77777777" w:rsidR="000A299D" w:rsidRPr="00F74979" w:rsidRDefault="000A299D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129.980,00</w:t>
            </w:r>
          </w:p>
        </w:tc>
        <w:tc>
          <w:tcPr>
            <w:tcW w:w="1314" w:type="dxa"/>
          </w:tcPr>
          <w:p w14:paraId="78199EAC" w14:textId="77777777" w:rsidR="000A299D" w:rsidRPr="00F74979" w:rsidRDefault="000A299D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56.092,76</w:t>
            </w:r>
          </w:p>
        </w:tc>
        <w:tc>
          <w:tcPr>
            <w:tcW w:w="939" w:type="dxa"/>
          </w:tcPr>
          <w:p w14:paraId="09E9159D" w14:textId="77777777" w:rsidR="000A299D" w:rsidRPr="00F74979" w:rsidRDefault="000A299D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36,17</w:t>
            </w:r>
          </w:p>
        </w:tc>
        <w:tc>
          <w:tcPr>
            <w:tcW w:w="917" w:type="dxa"/>
          </w:tcPr>
          <w:p w14:paraId="4DEED584" w14:textId="77777777" w:rsidR="000A299D" w:rsidRPr="00F74979" w:rsidRDefault="000A299D" w:rsidP="00662460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43,15</w:t>
            </w:r>
          </w:p>
        </w:tc>
      </w:tr>
    </w:tbl>
    <w:p w14:paraId="3E2A867A" w14:textId="77777777" w:rsidR="0067394C" w:rsidRPr="00F74979" w:rsidRDefault="0067394C" w:rsidP="004145CD">
      <w:pPr>
        <w:spacing w:after="0" w:line="240" w:lineRule="auto"/>
        <w:rPr>
          <w:rFonts w:cstheme="minorHAnsi"/>
          <w:b/>
        </w:rPr>
      </w:pPr>
    </w:p>
    <w:p w14:paraId="0075CCF1" w14:textId="77777777" w:rsidR="0067394C" w:rsidRPr="00F74979" w:rsidRDefault="0067394C" w:rsidP="004145CD">
      <w:pPr>
        <w:spacing w:after="0" w:line="240" w:lineRule="auto"/>
        <w:rPr>
          <w:rFonts w:cstheme="minorHAnsi"/>
          <w:b/>
        </w:rPr>
      </w:pPr>
    </w:p>
    <w:p w14:paraId="4243EC21" w14:textId="77777777" w:rsidR="0067394C" w:rsidRPr="00F74979" w:rsidRDefault="0067394C" w:rsidP="004145CD">
      <w:pPr>
        <w:spacing w:after="0" w:line="240" w:lineRule="auto"/>
        <w:rPr>
          <w:rFonts w:cstheme="minorHAnsi"/>
          <w:b/>
        </w:rPr>
      </w:pPr>
    </w:p>
    <w:p w14:paraId="42C678C5" w14:textId="77777777" w:rsidR="0067394C" w:rsidRPr="00F74979" w:rsidRDefault="0067394C" w:rsidP="004145CD">
      <w:pPr>
        <w:spacing w:after="0" w:line="240" w:lineRule="auto"/>
        <w:rPr>
          <w:rFonts w:cstheme="minorHAnsi"/>
          <w:b/>
        </w:rPr>
      </w:pPr>
    </w:p>
    <w:p w14:paraId="5313E725" w14:textId="77777777" w:rsidR="00662460" w:rsidRPr="00F74979" w:rsidRDefault="00662460" w:rsidP="004145CD">
      <w:pPr>
        <w:spacing w:after="0" w:line="240" w:lineRule="auto"/>
        <w:rPr>
          <w:rFonts w:cstheme="minorHAnsi"/>
          <w:b/>
        </w:rPr>
      </w:pPr>
      <w:r w:rsidRPr="00F74979">
        <w:rPr>
          <w:rFonts w:cstheme="minorHAnsi"/>
          <w:b/>
        </w:rPr>
        <w:lastRenderedPageBreak/>
        <w:t xml:space="preserve">POKAZATELJI USPJEŠNOSTI </w:t>
      </w:r>
      <w:r w:rsidRPr="00F74979">
        <w:rPr>
          <w:rFonts w:cstheme="minorHAnsi"/>
          <w:b/>
          <w:u w:val="single"/>
        </w:rPr>
        <w:t>PROGRAMA</w:t>
      </w:r>
      <w:r w:rsidRPr="00F74979">
        <w:rPr>
          <w:rFonts w:cstheme="minorHAnsi"/>
          <w:b/>
        </w:rPr>
        <w:t xml:space="preserve">: 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1276"/>
        <w:gridCol w:w="992"/>
        <w:gridCol w:w="1126"/>
        <w:gridCol w:w="1502"/>
      </w:tblGrid>
      <w:tr w:rsidR="0067394C" w:rsidRPr="00F74979" w14:paraId="12EF4CD4" w14:textId="77777777" w:rsidTr="0067394C">
        <w:trPr>
          <w:trHeight w:val="366"/>
        </w:trPr>
        <w:tc>
          <w:tcPr>
            <w:tcW w:w="1668" w:type="dxa"/>
            <w:vAlign w:val="center"/>
          </w:tcPr>
          <w:p w14:paraId="3D975E84" w14:textId="77777777" w:rsidR="00035F64" w:rsidRPr="00F74979" w:rsidRDefault="00035F64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3543" w:type="dxa"/>
            <w:vAlign w:val="center"/>
          </w:tcPr>
          <w:p w14:paraId="7311D341" w14:textId="77777777" w:rsidR="00035F64" w:rsidRPr="00F74979" w:rsidRDefault="00035F64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0DE254A2" w14:textId="77777777" w:rsidR="00035F64" w:rsidRPr="00F74979" w:rsidRDefault="00035F64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Jedinica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ED5939B" w14:textId="77777777" w:rsidR="00035F64" w:rsidRPr="00F74979" w:rsidRDefault="00035F64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Polazna vrijednost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228C8976" w14:textId="77777777" w:rsidR="00035F64" w:rsidRPr="00F74979" w:rsidRDefault="00035F64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9C7" w14:textId="77777777" w:rsidR="00035F64" w:rsidRPr="00F74979" w:rsidRDefault="00035F64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Izvršenje 01.01.-30.06.2023.</w:t>
            </w:r>
          </w:p>
        </w:tc>
      </w:tr>
      <w:tr w:rsidR="0067394C" w:rsidRPr="00F74979" w14:paraId="4C90840F" w14:textId="77777777" w:rsidTr="0067394C">
        <w:trPr>
          <w:trHeight w:val="119"/>
        </w:trPr>
        <w:tc>
          <w:tcPr>
            <w:tcW w:w="1668" w:type="dxa"/>
          </w:tcPr>
          <w:p w14:paraId="01632A13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Usklađenost s Državnim pedagoškim standardom u pogledu broja učenika u razrednom odjelu</w:t>
            </w:r>
          </w:p>
        </w:tc>
        <w:tc>
          <w:tcPr>
            <w:tcW w:w="3543" w:type="dxa"/>
          </w:tcPr>
          <w:p w14:paraId="5451D233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Prosječan broj učenika u razrednom odjelu treba biti usklađen u Državnim pedagoškim standardom kako bi se osigurala minimalna kvaliteta provođenja srednjoškolskog sustava odgoja i obrazovanja</w:t>
            </w:r>
          </w:p>
        </w:tc>
        <w:tc>
          <w:tcPr>
            <w:tcW w:w="1276" w:type="dxa"/>
          </w:tcPr>
          <w:p w14:paraId="61F9CA50" w14:textId="77777777" w:rsidR="00FA7880" w:rsidRPr="00F74979" w:rsidRDefault="00FA7880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Prosječan broj učenika u razrednom odjelu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D357EC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17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34E0D20D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3FB" w14:textId="77777777" w:rsidR="00FA7880" w:rsidRPr="00F74979" w:rsidRDefault="00FA07E7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15</w:t>
            </w:r>
          </w:p>
        </w:tc>
      </w:tr>
      <w:tr w:rsidR="0067394C" w:rsidRPr="00F74979" w14:paraId="3AC72754" w14:textId="77777777" w:rsidTr="0067394C">
        <w:trPr>
          <w:trHeight w:val="119"/>
        </w:trPr>
        <w:tc>
          <w:tcPr>
            <w:tcW w:w="1668" w:type="dxa"/>
          </w:tcPr>
          <w:p w14:paraId="5F26FF0D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Usklađenost s Državnim pedagoškim standardom u pogledu broja učenika u školi</w:t>
            </w:r>
          </w:p>
        </w:tc>
        <w:tc>
          <w:tcPr>
            <w:tcW w:w="3543" w:type="dxa"/>
          </w:tcPr>
          <w:p w14:paraId="76137A20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  <w:color w:val="000000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276" w:type="dxa"/>
          </w:tcPr>
          <w:p w14:paraId="644106BF" w14:textId="77777777" w:rsidR="00FA7880" w:rsidRPr="00F74979" w:rsidRDefault="00FA7880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Broj učenika u školi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ACC799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370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5871F5DF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380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C2E" w14:textId="77777777" w:rsidR="00FA7880" w:rsidRPr="00F74979" w:rsidRDefault="00B768CA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369</w:t>
            </w:r>
          </w:p>
        </w:tc>
      </w:tr>
      <w:tr w:rsidR="0067394C" w:rsidRPr="00F74979" w14:paraId="4A5B6B8D" w14:textId="77777777" w:rsidTr="0067394C">
        <w:trPr>
          <w:trHeight w:val="119"/>
        </w:trPr>
        <w:tc>
          <w:tcPr>
            <w:tcW w:w="1668" w:type="dxa"/>
          </w:tcPr>
          <w:p w14:paraId="053C9A76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Usklađenost s Državnim pedagoškim standardom u pogledu broja razrednih odjela</w:t>
            </w:r>
          </w:p>
        </w:tc>
        <w:tc>
          <w:tcPr>
            <w:tcW w:w="3543" w:type="dxa"/>
          </w:tcPr>
          <w:p w14:paraId="00FE4549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  <w:color w:val="000000"/>
                <w:shd w:val="clear" w:color="auto" w:fill="FFFFFF"/>
              </w:rPr>
              <w:t>Srednja škola optimalne veličine ima 16 do 20 razrednih odjela, odnosno 400 do 500 učenika, a broj razrednih odjela ne smije biti veći od 32, odnosno do 800 učenika u školi.</w:t>
            </w:r>
          </w:p>
        </w:tc>
        <w:tc>
          <w:tcPr>
            <w:tcW w:w="1276" w:type="dxa"/>
          </w:tcPr>
          <w:p w14:paraId="35B4BFA3" w14:textId="77777777" w:rsidR="00FA7880" w:rsidRPr="00F74979" w:rsidRDefault="00FA7880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Broj razrednih odjela u školi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22899F1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24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1AA6B408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597" w14:textId="77777777" w:rsidR="00FA7880" w:rsidRPr="00F74979" w:rsidRDefault="00B768CA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24</w:t>
            </w:r>
          </w:p>
        </w:tc>
      </w:tr>
      <w:tr w:rsidR="0067394C" w:rsidRPr="00F74979" w14:paraId="4549C8FF" w14:textId="77777777" w:rsidTr="0067394C">
        <w:trPr>
          <w:trHeight w:val="119"/>
        </w:trPr>
        <w:tc>
          <w:tcPr>
            <w:tcW w:w="1668" w:type="dxa"/>
          </w:tcPr>
          <w:p w14:paraId="3039D4D1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Poboljšanje materijalno-tehničkih uvjeta u školi u cilju poboljšanja završnog uspjeha učenika na kraju svake školske godine</w:t>
            </w:r>
          </w:p>
        </w:tc>
        <w:tc>
          <w:tcPr>
            <w:tcW w:w="3543" w:type="dxa"/>
          </w:tcPr>
          <w:p w14:paraId="35A6328A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Što veći postotak pozitivno ocijenjenih učenika na kraju školske godine je pokazatelj kako su učenici uspješnije savladali program što se može dovesti direktno u vezu sa stručnim usavršavanjem nastavnog osoblja i ulaganjem u materijalno-tehničke uvjete za izvođenje nastave</w:t>
            </w:r>
          </w:p>
        </w:tc>
        <w:tc>
          <w:tcPr>
            <w:tcW w:w="1276" w:type="dxa"/>
          </w:tcPr>
          <w:p w14:paraId="43ED9F17" w14:textId="77777777" w:rsidR="00FA7880" w:rsidRPr="00F74979" w:rsidRDefault="00FA7880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Postotak pozitivno ocijenjenih učenika na kraju školske godine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DFD0FB9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89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4050E1EE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90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A5D" w14:textId="77777777" w:rsidR="00FA7880" w:rsidRPr="00F74979" w:rsidRDefault="00FA07E7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NIJE MJERLJIVO U TRENUTKU IZRADE IZVJEŠĆA</w:t>
            </w:r>
          </w:p>
        </w:tc>
      </w:tr>
      <w:tr w:rsidR="0067394C" w:rsidRPr="00F74979" w14:paraId="20072B8B" w14:textId="77777777" w:rsidTr="0067394C">
        <w:trPr>
          <w:trHeight w:val="119"/>
        </w:trPr>
        <w:tc>
          <w:tcPr>
            <w:tcW w:w="1668" w:type="dxa"/>
          </w:tcPr>
          <w:p w14:paraId="3AB0B82D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Povećati broj poduzeća koja su ponudila pozicije za prakse</w:t>
            </w:r>
          </w:p>
        </w:tc>
        <w:tc>
          <w:tcPr>
            <w:tcW w:w="3543" w:type="dxa"/>
          </w:tcPr>
          <w:p w14:paraId="28967283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Povećanjem broja poduzeća otvara se mogućnost promjene nastavnog plana i programa s uključenim praksama i omogućuje povećanje broja učenika koji se upisuju u pojedino zanimanje</w:t>
            </w:r>
          </w:p>
        </w:tc>
        <w:tc>
          <w:tcPr>
            <w:tcW w:w="1276" w:type="dxa"/>
          </w:tcPr>
          <w:p w14:paraId="2EB3CF1A" w14:textId="77777777" w:rsidR="00FA7880" w:rsidRPr="00F74979" w:rsidRDefault="00FA7880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Broj novih poduzeća koja nude pozicije za prakse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31CE52C" w14:textId="77777777" w:rsidR="00FA7880" w:rsidRPr="00F74979" w:rsidRDefault="00FA7880" w:rsidP="0067394C">
            <w:pPr>
              <w:jc w:val="right"/>
              <w:rPr>
                <w:rFonts w:eastAsia="Calibri" w:cstheme="minorHAnsi"/>
                <w:bCs/>
              </w:rPr>
            </w:pPr>
            <w:r w:rsidRPr="00F74979"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4690A2D3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A53" w14:textId="77777777" w:rsidR="00FA7880" w:rsidRPr="00F74979" w:rsidRDefault="00FA07E7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</w:tr>
      <w:tr w:rsidR="0067394C" w:rsidRPr="00F74979" w14:paraId="2254BE30" w14:textId="77777777" w:rsidTr="0067394C">
        <w:trPr>
          <w:trHeight w:val="126"/>
        </w:trPr>
        <w:tc>
          <w:tcPr>
            <w:tcW w:w="1668" w:type="dxa"/>
          </w:tcPr>
          <w:p w14:paraId="4E1E41B8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Smanjiti broj neopravdanih izostanaka</w:t>
            </w:r>
          </w:p>
        </w:tc>
        <w:tc>
          <w:tcPr>
            <w:tcW w:w="3543" w:type="dxa"/>
          </w:tcPr>
          <w:p w14:paraId="79CC21F5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Organiziranjem dopunske nastave ili dodatnim savjetovanjem učenika postiže se smanjenje markiranja i izbjegavanja nastave</w:t>
            </w:r>
          </w:p>
        </w:tc>
        <w:tc>
          <w:tcPr>
            <w:tcW w:w="1276" w:type="dxa"/>
          </w:tcPr>
          <w:p w14:paraId="273FA659" w14:textId="77777777" w:rsidR="00FA7880" w:rsidRPr="00F74979" w:rsidRDefault="00FA7880" w:rsidP="0067394C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Broj neopravdanih izostanaka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DD5F00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eastAsia="Calibri" w:cstheme="minorHAnsi"/>
                <w:bCs/>
              </w:rPr>
              <w:t>1040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7A926574" w14:textId="77777777" w:rsidR="00FA7880" w:rsidRPr="00F74979" w:rsidRDefault="00FA7880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1010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6E7" w14:textId="77777777" w:rsidR="00FA7880" w:rsidRPr="00F74979" w:rsidRDefault="00FA07E7" w:rsidP="0067394C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NIJE MJERLJIVO U TRENUTKU IZRADE IZVJEŠĆA</w:t>
            </w:r>
          </w:p>
        </w:tc>
      </w:tr>
      <w:tr w:rsidR="0067394C" w:rsidRPr="00F74979" w14:paraId="4953F330" w14:textId="77777777" w:rsidTr="0067394C">
        <w:trPr>
          <w:trHeight w:val="126"/>
        </w:trPr>
        <w:tc>
          <w:tcPr>
            <w:tcW w:w="1668" w:type="dxa"/>
          </w:tcPr>
          <w:p w14:paraId="2810EAFD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Smanjiti količinu i broj potrebnih hitnih intervencija</w:t>
            </w:r>
          </w:p>
        </w:tc>
        <w:tc>
          <w:tcPr>
            <w:tcW w:w="3543" w:type="dxa"/>
          </w:tcPr>
          <w:p w14:paraId="2C13C48D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Cilj je redovnim održavanjem izbjeći veće kvarove i potrebe za hitnim sanacijama nedostataka</w:t>
            </w:r>
          </w:p>
        </w:tc>
        <w:tc>
          <w:tcPr>
            <w:tcW w:w="1276" w:type="dxa"/>
          </w:tcPr>
          <w:p w14:paraId="0D682A7F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 xml:space="preserve">Broj hitnih intervencija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7032F25F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 0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vAlign w:val="bottom"/>
          </w:tcPr>
          <w:p w14:paraId="6D89151A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0 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8A8B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2FED953" w14:textId="77777777" w:rsidR="003842D8" w:rsidRPr="00F74979" w:rsidRDefault="003842D8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5E43566" w14:textId="77777777" w:rsidR="0067394C" w:rsidRPr="00F74979" w:rsidRDefault="0067394C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6EE14146" w14:textId="77777777" w:rsidR="00FA7880" w:rsidRPr="00F74979" w:rsidRDefault="003842D8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  <w:p w14:paraId="5292159C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7394C" w:rsidRPr="00F74979" w14:paraId="2FF5CD6A" w14:textId="77777777" w:rsidTr="0067394C">
        <w:trPr>
          <w:trHeight w:val="126"/>
        </w:trPr>
        <w:tc>
          <w:tcPr>
            <w:tcW w:w="1668" w:type="dxa"/>
          </w:tcPr>
          <w:p w14:paraId="34A55965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Prelazak u jednosmjensku nastavu</w:t>
            </w:r>
          </w:p>
        </w:tc>
        <w:tc>
          <w:tcPr>
            <w:tcW w:w="3543" w:type="dxa"/>
          </w:tcPr>
          <w:p w14:paraId="4663532E" w14:textId="77777777" w:rsidR="00FA7880" w:rsidRPr="00F74979" w:rsidRDefault="00FA7880" w:rsidP="0067394C">
            <w:pPr>
              <w:rPr>
                <w:rFonts w:cstheme="minorHAnsi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Uvođenjem jednosmjenske nastave pridonosi se poboljšanju kvalitete i učinkovitosti obrazovanja</w:t>
            </w:r>
          </w:p>
        </w:tc>
        <w:tc>
          <w:tcPr>
            <w:tcW w:w="1276" w:type="dxa"/>
          </w:tcPr>
          <w:p w14:paraId="6B7ADD3B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%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386123F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  <w:tc>
          <w:tcPr>
            <w:tcW w:w="1126" w:type="dxa"/>
            <w:tcBorders>
              <w:right w:val="single" w:sz="4" w:space="0" w:color="auto"/>
            </w:tcBorders>
            <w:vAlign w:val="bottom"/>
          </w:tcPr>
          <w:p w14:paraId="2976F7CB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0 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8B7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0AE79BF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0815221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C38893D" w14:textId="77777777" w:rsidR="00FA7880" w:rsidRPr="00F74979" w:rsidRDefault="00FA7880" w:rsidP="0067394C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</w:tr>
    </w:tbl>
    <w:p w14:paraId="03D636B3" w14:textId="77777777" w:rsidR="003842D8" w:rsidRPr="00F74979" w:rsidRDefault="003842D8" w:rsidP="000A29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4BFD26AD" w14:textId="77777777" w:rsidR="003842D8" w:rsidRPr="00F74979" w:rsidRDefault="003842D8" w:rsidP="000A29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49C196C9" w14:textId="77777777" w:rsidR="00AF6529" w:rsidRPr="00F74979" w:rsidRDefault="000A299D" w:rsidP="000A29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4979">
        <w:rPr>
          <w:rFonts w:ascii="Times New Roman" w:hAnsi="Times New Roman" w:cs="Times New Roman"/>
          <w:b/>
          <w:sz w:val="20"/>
          <w:szCs w:val="20"/>
          <w:highlight w:val="yellow"/>
        </w:rPr>
        <w:t>ŠIFRA I NAZIV PROGRAMA:</w:t>
      </w:r>
      <w:r w:rsidRPr="00F74979">
        <w:rPr>
          <w:rFonts w:ascii="Times New Roman" w:hAnsi="Times New Roman" w:cs="Times New Roman"/>
          <w:b/>
          <w:sz w:val="20"/>
          <w:szCs w:val="20"/>
          <w:highlight w:val="yellow"/>
        </w:rPr>
        <w:tab/>
        <w:t>125 Program javnih potreba iznad standarda – vlastiti prihodi</w:t>
      </w:r>
    </w:p>
    <w:p w14:paraId="22C271FE" w14:textId="77777777" w:rsidR="003842D8" w:rsidRPr="00F74979" w:rsidRDefault="003842D8" w:rsidP="003842D8">
      <w:pPr>
        <w:spacing w:after="0" w:line="240" w:lineRule="auto"/>
        <w:jc w:val="both"/>
        <w:rPr>
          <w:rFonts w:cstheme="minorHAnsi"/>
          <w:b/>
        </w:rPr>
      </w:pPr>
    </w:p>
    <w:p w14:paraId="189BD001" w14:textId="77777777" w:rsidR="00AF6529" w:rsidRPr="00F74979" w:rsidRDefault="00AF6529" w:rsidP="0067394C">
      <w:pPr>
        <w:spacing w:after="0" w:line="240" w:lineRule="auto"/>
        <w:jc w:val="both"/>
        <w:rPr>
          <w:rFonts w:cstheme="minorHAnsi"/>
          <w:b/>
        </w:rPr>
      </w:pPr>
      <w:r w:rsidRPr="00F74979">
        <w:rPr>
          <w:rFonts w:cstheme="minorHAnsi"/>
          <w:b/>
        </w:rPr>
        <w:t xml:space="preserve">SVRHA PROGRAMA: </w:t>
      </w:r>
    </w:p>
    <w:p w14:paraId="2C8768B7" w14:textId="77777777" w:rsidR="00AF6529" w:rsidRPr="00F74979" w:rsidRDefault="000A299D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eastAsia="Times New Roman" w:hAnsi="Calibri" w:cs="Calibri"/>
          <w:color w:val="000000"/>
        </w:rPr>
        <w:t xml:space="preserve">Posebni cilj je podići kvalitetu nastave na što višu razinu podizanjem materijalnih i drugih uvjeta prema našim mogućnostima, na viši standard što se omogućava dodatnim prihodima od iznajmljivanja. Također, </w:t>
      </w:r>
      <w:r w:rsidRPr="00F74979">
        <w:rPr>
          <w:rFonts w:ascii="Calibri" w:hAnsi="Calibri" w:cs="Calibri"/>
        </w:rPr>
        <w:t>mnoge strane učenici će savladavati kroz rad učeničke zadruge “Zanatlija“, odnosno pekarske, mesarske, soboslikarske, frizerske, pedikerske, kozmetičarske i drugih sekcija u zadruzi. Ciljevi zadruge: razvoj organizacijskih, socijalnih vještina i sposobnosti, vještina u zanatu, odnos prema sredstvima rada, odnos prema kupcu, stjecanje higijenskih navika i osnove manipulacije hranom, razvoj radne discipline, suradničkog rada, organizacije vremena, marketinških sposobnosti, određivanje cijene usluge i proizvoda i slično. Aktivnosti organizacije obrazovanja odraslih omogućavaju cjeloživotno učenje i usavršavanje i usmjereni su prema vanjskim korisnicima usluga obrazovanja.</w:t>
      </w:r>
    </w:p>
    <w:p w14:paraId="61C910B7" w14:textId="77777777" w:rsidR="00AF6529" w:rsidRPr="00F74979" w:rsidRDefault="00AF6529" w:rsidP="0067394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9932D52" w14:textId="77777777" w:rsidR="00AF6529" w:rsidRPr="00F74979" w:rsidRDefault="00AF6529" w:rsidP="0067394C">
      <w:pPr>
        <w:spacing w:after="0" w:line="240" w:lineRule="auto"/>
        <w:jc w:val="both"/>
        <w:rPr>
          <w:rFonts w:ascii="Calibri" w:hAnsi="Calibri" w:cs="Calibri"/>
          <w:bCs/>
          <w:iCs/>
        </w:rPr>
      </w:pPr>
      <w:r w:rsidRPr="00F74979">
        <w:rPr>
          <w:rFonts w:ascii="Calibri" w:hAnsi="Calibri" w:cs="Calibri"/>
          <w:b/>
        </w:rPr>
        <w:t xml:space="preserve">POVEZANOST PROGRAMA SA STRATEŠKIM DOKUMENTIMA: </w:t>
      </w:r>
    </w:p>
    <w:p w14:paraId="1E3E91C3" w14:textId="77777777" w:rsidR="000A299D" w:rsidRPr="00F74979" w:rsidRDefault="000A299D" w:rsidP="0067394C">
      <w:pPr>
        <w:spacing w:after="0" w:line="240" w:lineRule="auto"/>
        <w:jc w:val="both"/>
        <w:rPr>
          <w:rFonts w:ascii="Calibri" w:hAnsi="Calibri" w:cs="Calibri"/>
          <w:bCs/>
          <w:iCs/>
        </w:rPr>
      </w:pPr>
      <w:r w:rsidRPr="00F74979">
        <w:rPr>
          <w:rFonts w:ascii="Calibri" w:hAnsi="Calibri" w:cs="Calibri"/>
          <w:bCs/>
          <w:iCs/>
        </w:rPr>
        <w:t>Plan realizacije i ostvarenja izvršava se u skladu sa Školskim Kurikulumom i pravilnicima škole.</w:t>
      </w:r>
    </w:p>
    <w:p w14:paraId="616A99C3" w14:textId="77777777" w:rsidR="00AF6529" w:rsidRPr="00F74979" w:rsidRDefault="00AF6529" w:rsidP="0067394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5199C952" w14:textId="77777777" w:rsidR="00AF6529" w:rsidRPr="00F74979" w:rsidRDefault="00AF6529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  <w:b/>
        </w:rPr>
        <w:t xml:space="preserve">ZAKONSKE I DRUGE PODLOGE NA KOJIMA SE PROGRAM ZASNIVA: </w:t>
      </w:r>
    </w:p>
    <w:p w14:paraId="13CD35D2" w14:textId="77777777" w:rsidR="000A299D" w:rsidRPr="00F74979" w:rsidRDefault="000A299D" w:rsidP="0067394C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Zakon o proračunu (NN 87/08, 136/12, 15/15, 56/22)</w:t>
      </w:r>
    </w:p>
    <w:p w14:paraId="42966366" w14:textId="77777777" w:rsidR="000A299D" w:rsidRPr="00F74979" w:rsidRDefault="000A299D" w:rsidP="0067394C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Pravilnik o proračunskom računovodstvu (NN 124/14, 115/15 i 87/16)</w:t>
      </w:r>
    </w:p>
    <w:p w14:paraId="1E701D0B" w14:textId="77777777" w:rsidR="000A299D" w:rsidRPr="00F74979" w:rsidRDefault="000A299D" w:rsidP="0067394C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Pravilnik o izmjenama i dopunama pravilnika o proračunskom računovodstvu i računskom planu (NN 3/2018)</w:t>
      </w:r>
    </w:p>
    <w:p w14:paraId="4E16F26E" w14:textId="77777777" w:rsidR="000A299D" w:rsidRPr="00F74979" w:rsidRDefault="000A299D" w:rsidP="0067394C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Upute proračunskim korisnicima za izradu Proračuna Karlovačke županije za razdoblje 2023. – 2025.</w:t>
      </w:r>
    </w:p>
    <w:p w14:paraId="615F5215" w14:textId="77777777" w:rsidR="000A299D" w:rsidRPr="00F74979" w:rsidRDefault="000A299D" w:rsidP="0067394C">
      <w:pPr>
        <w:spacing w:after="0" w:line="240" w:lineRule="auto"/>
        <w:jc w:val="both"/>
        <w:rPr>
          <w:rFonts w:ascii="Calibri" w:hAnsi="Calibri" w:cs="Calibri"/>
          <w:bCs/>
        </w:rPr>
      </w:pPr>
      <w:r w:rsidRPr="00F74979">
        <w:rPr>
          <w:rFonts w:ascii="Calibri" w:hAnsi="Calibri" w:cs="Calibri"/>
          <w:bCs/>
        </w:rPr>
        <w:t>Temeljni kolektivni ugovor za javne službenike i namještenike (NN 56/22)</w:t>
      </w:r>
    </w:p>
    <w:p w14:paraId="20DCCD97" w14:textId="77777777" w:rsidR="000A299D" w:rsidRPr="00F74979" w:rsidRDefault="000A299D" w:rsidP="0067394C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Odluka o raspodjeli i korištenju poslovnog rezult</w:t>
      </w:r>
      <w:r w:rsidR="00661574" w:rsidRPr="00F74979">
        <w:rPr>
          <w:rFonts w:ascii="Calibri" w:hAnsi="Calibri" w:cs="Calibri"/>
        </w:rPr>
        <w:t>ata od 2022</w:t>
      </w:r>
      <w:r w:rsidRPr="00F74979">
        <w:rPr>
          <w:rFonts w:ascii="Calibri" w:hAnsi="Calibri" w:cs="Calibri"/>
        </w:rPr>
        <w:t>. godine</w:t>
      </w:r>
    </w:p>
    <w:p w14:paraId="51C7EB27" w14:textId="77777777" w:rsidR="000A299D" w:rsidRPr="00F74979" w:rsidRDefault="000A299D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Ugovor o zakupu poslovnog prostora – Dabar</w:t>
      </w:r>
    </w:p>
    <w:p w14:paraId="7D951413" w14:textId="77777777" w:rsidR="000A299D" w:rsidRPr="00F74979" w:rsidRDefault="000A299D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Ugovor o zakupu poslovnog prostora – Obrt za uređenje interijera Šumar</w:t>
      </w:r>
    </w:p>
    <w:p w14:paraId="5B302618" w14:textId="77777777" w:rsidR="000A299D" w:rsidRPr="00F74979" w:rsidRDefault="000A299D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Statut Učeničke zadruge</w:t>
      </w:r>
    </w:p>
    <w:p w14:paraId="61325709" w14:textId="77777777" w:rsidR="000A299D" w:rsidRPr="00F74979" w:rsidRDefault="000A299D" w:rsidP="0067394C">
      <w:pPr>
        <w:snapToGrid w:val="0"/>
        <w:spacing w:after="0" w:line="240" w:lineRule="auto"/>
        <w:ind w:right="150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Ugovor o zakupu prostora B1 plakati</w:t>
      </w:r>
    </w:p>
    <w:p w14:paraId="6341D8D2" w14:textId="77777777" w:rsidR="000A299D" w:rsidRPr="00F74979" w:rsidRDefault="000A299D" w:rsidP="0067394C">
      <w:pPr>
        <w:pStyle w:val="Odlomakpopisa"/>
        <w:spacing w:line="240" w:lineRule="auto"/>
        <w:ind w:left="0" w:right="230"/>
        <w:jc w:val="both"/>
        <w:rPr>
          <w:rFonts w:ascii="Calibri" w:eastAsia="Times New Roman" w:hAnsi="Calibri" w:cs="Calibri"/>
          <w:color w:val="000000"/>
        </w:rPr>
      </w:pPr>
      <w:r w:rsidRPr="00F74979">
        <w:rPr>
          <w:rFonts w:ascii="Calibri" w:eastAsia="Times New Roman" w:hAnsi="Calibri" w:cs="Calibri"/>
          <w:color w:val="000000"/>
        </w:rPr>
        <w:t>Odobrenja za provođenje programa obrazovanja odraslih</w:t>
      </w:r>
    </w:p>
    <w:p w14:paraId="7027E759" w14:textId="77777777" w:rsidR="000A299D" w:rsidRPr="00F74979" w:rsidRDefault="000A299D" w:rsidP="0067394C">
      <w:pPr>
        <w:pStyle w:val="Odlomakpopisa"/>
        <w:spacing w:line="240" w:lineRule="auto"/>
        <w:ind w:left="0" w:right="230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 xml:space="preserve">Ugovor o zakupu prostora </w:t>
      </w:r>
      <w:r w:rsidR="00661574" w:rsidRPr="00F74979">
        <w:rPr>
          <w:rFonts w:ascii="Calibri" w:hAnsi="Calibri" w:cs="Calibri"/>
        </w:rPr>
        <w:t>AXA d.o.o.</w:t>
      </w:r>
    </w:p>
    <w:p w14:paraId="45E33339" w14:textId="77777777" w:rsidR="00661574" w:rsidRPr="00F74979" w:rsidRDefault="00661574" w:rsidP="0067394C">
      <w:pPr>
        <w:pStyle w:val="Odlomakpopisa"/>
        <w:spacing w:line="240" w:lineRule="auto"/>
        <w:ind w:left="0" w:right="230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Ugovor o zakupu prostora Fabundo d.o.o.</w:t>
      </w:r>
    </w:p>
    <w:p w14:paraId="3830EF25" w14:textId="77777777" w:rsidR="00AF6529" w:rsidRPr="00F74979" w:rsidRDefault="00AF6529" w:rsidP="0067394C">
      <w:pPr>
        <w:spacing w:after="0" w:line="240" w:lineRule="auto"/>
        <w:jc w:val="both"/>
        <w:rPr>
          <w:rFonts w:ascii="Calibri" w:hAnsi="Calibri" w:cs="Calibri"/>
        </w:rPr>
      </w:pPr>
    </w:p>
    <w:p w14:paraId="48532553" w14:textId="77777777" w:rsidR="00AF6529" w:rsidRPr="00F74979" w:rsidRDefault="00CD1EBF" w:rsidP="0067394C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F74979">
        <w:rPr>
          <w:rFonts w:ascii="Calibri" w:hAnsi="Calibri" w:cs="Calibri"/>
          <w:b/>
          <w:bCs/>
        </w:rPr>
        <w:t xml:space="preserve">IZVRŠENJE </w:t>
      </w:r>
      <w:r w:rsidRPr="00F74979">
        <w:rPr>
          <w:rFonts w:ascii="Calibri" w:hAnsi="Calibri" w:cs="Calibri"/>
          <w:b/>
          <w:bCs/>
          <w:u w:val="single"/>
        </w:rPr>
        <w:t>PROGRAMA</w:t>
      </w:r>
      <w:r w:rsidRPr="00F74979">
        <w:rPr>
          <w:rFonts w:ascii="Calibri" w:hAnsi="Calibri" w:cs="Calibri"/>
          <w:b/>
          <w:bCs/>
        </w:rPr>
        <w:t xml:space="preserve"> S OSVRTOM NA CILJEVE KOJI SU OSTVARENI NJEGOVOM PROVEDBOM</w:t>
      </w:r>
      <w:r w:rsidR="00EB3F9E" w:rsidRPr="00F74979">
        <w:rPr>
          <w:rFonts w:ascii="Calibri" w:hAnsi="Calibri" w:cs="Calibri"/>
          <w:b/>
          <w:bCs/>
        </w:rPr>
        <w:t>:</w:t>
      </w:r>
    </w:p>
    <w:p w14:paraId="38CBB48C" w14:textId="77777777" w:rsidR="00EB3F9E" w:rsidRPr="00F74979" w:rsidRDefault="00EB3F9E" w:rsidP="0067394C">
      <w:pPr>
        <w:spacing w:after="0"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Škola je postavila cilj aktivnosti nabavu nefinancijske imovine za potrebe funkcioniranja škole i za rad školskih praktikuma kako bi se poboljšali materijalno-tehnički uvjeti</w:t>
      </w:r>
      <w:r w:rsidR="006E4A87" w:rsidRPr="00F74979">
        <w:rPr>
          <w:rFonts w:ascii="Calibri" w:hAnsi="Calibri" w:cs="Calibri"/>
        </w:rPr>
        <w:t xml:space="preserve"> rada. Ciljana vrijednost je 700. </w:t>
      </w:r>
      <w:r w:rsidRPr="00F74979">
        <w:rPr>
          <w:rFonts w:ascii="Calibri" w:hAnsi="Calibri" w:cs="Calibri"/>
        </w:rPr>
        <w:t xml:space="preserve">EUR  Cilj </w:t>
      </w:r>
      <w:r w:rsidR="006E4A87" w:rsidRPr="00F74979">
        <w:rPr>
          <w:rFonts w:ascii="Calibri" w:hAnsi="Calibri" w:cs="Calibri"/>
        </w:rPr>
        <w:t>ni</w:t>
      </w:r>
      <w:r w:rsidRPr="00F74979">
        <w:rPr>
          <w:rFonts w:ascii="Calibri" w:hAnsi="Calibri" w:cs="Calibri"/>
        </w:rPr>
        <w:t xml:space="preserve">je ostvaren, obzirom da je škola </w:t>
      </w:r>
      <w:r w:rsidR="006E4A87" w:rsidRPr="00F74979">
        <w:rPr>
          <w:rFonts w:ascii="Calibri" w:hAnsi="Calibri" w:cs="Calibri"/>
        </w:rPr>
        <w:t xml:space="preserve">u prvoj polovici godine nije nabavila nikakvu opremu za rad u školskim praktikumima iz vlastitih </w:t>
      </w:r>
      <w:r w:rsidR="00661574" w:rsidRPr="00F74979">
        <w:rPr>
          <w:rFonts w:ascii="Calibri" w:hAnsi="Calibri" w:cs="Calibri"/>
        </w:rPr>
        <w:t xml:space="preserve">sredstava, samo uredske stolice vrijednosti 150,00 EUR. </w:t>
      </w:r>
      <w:r w:rsidR="006E4A87" w:rsidRPr="00F74979">
        <w:rPr>
          <w:rFonts w:ascii="Calibri" w:hAnsi="Calibri" w:cs="Calibri"/>
        </w:rPr>
        <w:t>Planira se početkom sljedeće školske godine 2023/2024. nabavljanje nove opreme kako bi se dodatno poboljšali materijalno-tehnički uvjeti u školskim praktikumima.</w:t>
      </w:r>
    </w:p>
    <w:p w14:paraId="79DA3F10" w14:textId="77777777" w:rsidR="006E4A87" w:rsidRPr="00F74979" w:rsidRDefault="00EB3F9E" w:rsidP="0067394C">
      <w:pPr>
        <w:spacing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>Ciljani broj aktivnosti učeničke zadruge u</w:t>
      </w:r>
      <w:r w:rsidR="006E4A87" w:rsidRPr="00F74979">
        <w:rPr>
          <w:rFonts w:ascii="Calibri" w:hAnsi="Calibri" w:cs="Calibri"/>
        </w:rPr>
        <w:t xml:space="preserve"> jednoj kalendarskoj godini je 5</w:t>
      </w:r>
      <w:r w:rsidRPr="00F74979">
        <w:rPr>
          <w:rFonts w:ascii="Calibri" w:hAnsi="Calibri" w:cs="Calibri"/>
        </w:rPr>
        <w:t xml:space="preserve">. </w:t>
      </w:r>
      <w:r w:rsidR="006E4A87" w:rsidRPr="00F74979">
        <w:rPr>
          <w:rFonts w:ascii="Calibri" w:hAnsi="Calibri" w:cs="Calibri"/>
        </w:rPr>
        <w:t>U prvoj polovici 2023. godine</w:t>
      </w:r>
      <w:r w:rsidRPr="00F74979">
        <w:rPr>
          <w:rFonts w:ascii="Calibri" w:hAnsi="Calibri" w:cs="Calibri"/>
        </w:rPr>
        <w:t xml:space="preserve"> je </w:t>
      </w:r>
      <w:r w:rsidR="006E4A87" w:rsidRPr="00F74979">
        <w:rPr>
          <w:rFonts w:ascii="Calibri" w:hAnsi="Calibri" w:cs="Calibri"/>
        </w:rPr>
        <w:t xml:space="preserve">održano 4 aktivnosti i to: organizacija Uskrsnog sajma na kojem su </w:t>
      </w:r>
      <w:r w:rsidR="00661574" w:rsidRPr="00F74979">
        <w:rPr>
          <w:rFonts w:ascii="Calibri" w:hAnsi="Calibri" w:cs="Calibri"/>
        </w:rPr>
        <w:t xml:space="preserve">se prodavali školski proizvodi </w:t>
      </w:r>
      <w:r w:rsidR="006E4A87" w:rsidRPr="00F74979">
        <w:rPr>
          <w:rFonts w:ascii="Calibri" w:hAnsi="Calibri" w:cs="Calibri"/>
        </w:rPr>
        <w:t xml:space="preserve">i pružale usluge frizera, kozmetičara i frizera, organiziran je posjet članova Kluba umirovljenika školskom frizerskom, kozmetičkom i pedikerskom praktikumu,  sudjelovanje na Beauty and Hair Expo </w:t>
      </w:r>
      <w:r w:rsidR="00661574" w:rsidRPr="00F74979">
        <w:rPr>
          <w:rFonts w:ascii="Calibri" w:hAnsi="Calibri" w:cs="Calibri"/>
        </w:rPr>
        <w:t xml:space="preserve">i Make Up Wednesday dana </w:t>
      </w:r>
      <w:r w:rsidR="006E4A87" w:rsidRPr="00F74979">
        <w:rPr>
          <w:rFonts w:ascii="Calibri" w:hAnsi="Calibri" w:cs="Calibri"/>
        </w:rPr>
        <w:t xml:space="preserve">10. ožujka 2023. </w:t>
      </w:r>
      <w:r w:rsidR="00661574" w:rsidRPr="00F74979">
        <w:rPr>
          <w:rFonts w:ascii="Calibri" w:hAnsi="Calibri" w:cs="Calibri"/>
        </w:rPr>
        <w:t>g</w:t>
      </w:r>
      <w:r w:rsidR="006E4A87" w:rsidRPr="00F74979">
        <w:rPr>
          <w:rFonts w:ascii="Calibri" w:hAnsi="Calibri" w:cs="Calibri"/>
        </w:rPr>
        <w:t>odin</w:t>
      </w:r>
      <w:r w:rsidR="00661574" w:rsidRPr="00F74979">
        <w:rPr>
          <w:rFonts w:ascii="Calibri" w:hAnsi="Calibri" w:cs="Calibri"/>
        </w:rPr>
        <w:t>e</w:t>
      </w:r>
      <w:r w:rsidR="006E4A87" w:rsidRPr="00F74979">
        <w:rPr>
          <w:rFonts w:ascii="Calibri" w:hAnsi="Calibri" w:cs="Calibri"/>
        </w:rPr>
        <w:t xml:space="preserve"> gdje su učenici 2., 3., i 4. razreda naše škole koji se školuju za zanimanja frizer, kozmetičar i pediker, sudjelovali na natjecanju u dvije kategorije: "Ženska retro dnevna frizura", učenica Armina Begić i "Muška fa</w:t>
      </w:r>
      <w:r w:rsidR="00661574" w:rsidRPr="00F74979">
        <w:rPr>
          <w:rFonts w:ascii="Calibri" w:hAnsi="Calibri" w:cs="Calibri"/>
        </w:rPr>
        <w:t>de frizura", učenik Karlo Žužić, te sudjelovanje na 1. dani obrtništva u gradu Karlovcu i Karlovačkoj županiji od 19.do 20.5.2023.</w:t>
      </w:r>
    </w:p>
    <w:p w14:paraId="44B251B5" w14:textId="77777777" w:rsidR="006E4A87" w:rsidRPr="00F74979" w:rsidRDefault="00661574" w:rsidP="0067394C">
      <w:pPr>
        <w:spacing w:line="240" w:lineRule="auto"/>
        <w:jc w:val="both"/>
        <w:rPr>
          <w:rFonts w:ascii="Calibri" w:hAnsi="Calibri" w:cs="Calibri"/>
        </w:rPr>
      </w:pPr>
      <w:r w:rsidRPr="00F74979">
        <w:rPr>
          <w:rFonts w:ascii="Calibri" w:hAnsi="Calibri" w:cs="Calibri"/>
        </w:rPr>
        <w:t xml:space="preserve">U prvoj polovici 2023. godine je ostvareno 1.056,51 EUR rashoda financiran vlastitim prihodima. </w:t>
      </w:r>
      <w:r w:rsidR="00B768CA" w:rsidRPr="00F74979">
        <w:rPr>
          <w:rFonts w:ascii="Calibri" w:hAnsi="Calibri" w:cs="Calibri"/>
        </w:rPr>
        <w:t xml:space="preserve">Vlastiti prihodi su trošeni za nagrade učenicima i nabavku materijala i usluga koji nisu planirani na drugim izvorima. </w:t>
      </w:r>
      <w:r w:rsidRPr="00F74979">
        <w:rPr>
          <w:rFonts w:ascii="Calibri" w:hAnsi="Calibri" w:cs="Calibri"/>
        </w:rPr>
        <w:t xml:space="preserve">Ukupno </w:t>
      </w:r>
      <w:r w:rsidR="00AD296D" w:rsidRPr="00F74979">
        <w:rPr>
          <w:rFonts w:ascii="Calibri" w:hAnsi="Calibri" w:cs="Calibri"/>
        </w:rPr>
        <w:t xml:space="preserve">je ostvareno 3.695,55 EUR prihoda </w:t>
      </w:r>
      <w:r w:rsidR="00B768CA" w:rsidRPr="00F74979">
        <w:rPr>
          <w:rFonts w:ascii="Calibri" w:hAnsi="Calibri" w:cs="Calibri"/>
        </w:rPr>
        <w:t xml:space="preserve">od prodaje proizvoda i usluge Zadruge te iznajmljivanja prostora Škole od ukupno planiranih 6.323,03 EUR u 2023. godini. Prenesen je višak iz 2022. od vlastitih prihoda u </w:t>
      </w:r>
      <w:r w:rsidR="00B768CA" w:rsidRPr="00F74979">
        <w:rPr>
          <w:rFonts w:ascii="Calibri" w:hAnsi="Calibri" w:cs="Calibri"/>
        </w:rPr>
        <w:lastRenderedPageBreak/>
        <w:t>iznosu 676,97 EUR kao rezultat neutrošenih vlastitih prihoda te će biti utrošen u skladu s Odlukom o raspodjeli rezultata poslovanja 2022. godine.</w:t>
      </w:r>
    </w:p>
    <w:p w14:paraId="07F56134" w14:textId="77777777" w:rsidR="00AF6529" w:rsidRPr="00F74979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6B9EB033" w14:textId="77777777" w:rsidR="00AF6529" w:rsidRPr="00F74979" w:rsidRDefault="00AF6529" w:rsidP="00AF6529">
      <w:pPr>
        <w:spacing w:after="0" w:line="240" w:lineRule="auto"/>
        <w:rPr>
          <w:rFonts w:cstheme="minorHAnsi"/>
          <w:b/>
          <w:bCs/>
        </w:rPr>
      </w:pPr>
      <w:r w:rsidRPr="00F74979">
        <w:rPr>
          <w:rFonts w:cstheme="minorHAnsi"/>
          <w:b/>
          <w:bCs/>
        </w:rPr>
        <w:t>IZVRŠENJE FINANCIJSKOG PLANA ZA SIJEČANJ-LIPANJ 2023.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9"/>
        <w:gridCol w:w="1986"/>
        <w:gridCol w:w="1286"/>
        <w:gridCol w:w="1001"/>
        <w:gridCol w:w="1180"/>
        <w:gridCol w:w="1297"/>
        <w:gridCol w:w="910"/>
        <w:gridCol w:w="890"/>
      </w:tblGrid>
      <w:tr w:rsidR="00AF6529" w:rsidRPr="00F74979" w14:paraId="2A26A408" w14:textId="77777777" w:rsidTr="000A299D">
        <w:tc>
          <w:tcPr>
            <w:tcW w:w="1137" w:type="dxa"/>
          </w:tcPr>
          <w:p w14:paraId="41DA8A17" w14:textId="77777777" w:rsidR="00AF6529" w:rsidRPr="00F74979" w:rsidRDefault="00AF6529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77F06E0B" w14:textId="77777777" w:rsidR="00AF6529" w:rsidRPr="00F74979" w:rsidRDefault="00AF6529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5DBA8618" w14:textId="77777777" w:rsidR="00AF6529" w:rsidRPr="00F74979" w:rsidRDefault="00AF6529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996" w:type="dxa"/>
          </w:tcPr>
          <w:p w14:paraId="57B72859" w14:textId="77777777" w:rsidR="00AF6529" w:rsidRPr="00F74979" w:rsidRDefault="00AF6529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 xml:space="preserve">PLAN </w:t>
            </w:r>
          </w:p>
          <w:p w14:paraId="2893D22C" w14:textId="77777777" w:rsidR="00AF6529" w:rsidRPr="00F74979" w:rsidRDefault="00AF6529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49F2B4C8" w14:textId="77777777" w:rsidR="00AF6529" w:rsidRPr="00F74979" w:rsidRDefault="00AF6529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 xml:space="preserve">I REBALANS </w:t>
            </w:r>
          </w:p>
          <w:p w14:paraId="7F0E2B7A" w14:textId="77777777" w:rsidR="00AF6529" w:rsidRPr="00F74979" w:rsidRDefault="00AF6529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41" w:type="dxa"/>
          </w:tcPr>
          <w:p w14:paraId="5DA6EAD1" w14:textId="77777777" w:rsidR="00AF6529" w:rsidRPr="00F74979" w:rsidRDefault="00AF6529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980" w:type="dxa"/>
          </w:tcPr>
          <w:p w14:paraId="678B4BBC" w14:textId="77777777" w:rsidR="00AF6529" w:rsidRPr="00F74979" w:rsidRDefault="00AF6529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INDEKS %</w:t>
            </w:r>
          </w:p>
        </w:tc>
        <w:tc>
          <w:tcPr>
            <w:tcW w:w="890" w:type="dxa"/>
          </w:tcPr>
          <w:p w14:paraId="65E55625" w14:textId="77777777" w:rsidR="00AF6529" w:rsidRPr="00F74979" w:rsidRDefault="00AF6529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INDEKS %</w:t>
            </w:r>
          </w:p>
        </w:tc>
      </w:tr>
      <w:tr w:rsidR="00AF6529" w:rsidRPr="00F74979" w14:paraId="340A28C5" w14:textId="77777777" w:rsidTr="000A299D">
        <w:tc>
          <w:tcPr>
            <w:tcW w:w="1137" w:type="dxa"/>
          </w:tcPr>
          <w:p w14:paraId="276F9189" w14:textId="77777777" w:rsidR="00AF6529" w:rsidRPr="00F74979" w:rsidRDefault="00AF6529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7E2F0B4F" w14:textId="77777777" w:rsidR="00AF6529" w:rsidRPr="00F74979" w:rsidRDefault="00AF6529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6DD1CE08" w14:textId="77777777" w:rsidR="00AF6529" w:rsidRPr="00F74979" w:rsidRDefault="00AF6529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96" w:type="dxa"/>
          </w:tcPr>
          <w:p w14:paraId="24D9FE52" w14:textId="77777777" w:rsidR="00AF6529" w:rsidRPr="00F74979" w:rsidRDefault="00AF6529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59FE5B8A" w14:textId="77777777" w:rsidR="00AF6529" w:rsidRPr="00F74979" w:rsidRDefault="00AF6529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0E0AAF7A" w14:textId="77777777" w:rsidR="00AF6529" w:rsidRPr="00F74979" w:rsidRDefault="00AF6529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4AFA95D7" w14:textId="77777777" w:rsidR="00AF6529" w:rsidRPr="00F74979" w:rsidRDefault="00AF6529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0A532DA1" w14:textId="77777777" w:rsidR="00AF6529" w:rsidRPr="00F74979" w:rsidRDefault="00AF6529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8</w:t>
            </w:r>
          </w:p>
        </w:tc>
      </w:tr>
      <w:tr w:rsidR="00AF6529" w:rsidRPr="00F74979" w14:paraId="5ED7A08C" w14:textId="77777777" w:rsidTr="000A299D">
        <w:tc>
          <w:tcPr>
            <w:tcW w:w="1137" w:type="dxa"/>
          </w:tcPr>
          <w:p w14:paraId="04CAD8A6" w14:textId="77777777" w:rsidR="00AF6529" w:rsidRPr="00F74979" w:rsidRDefault="00AF6529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1.</w:t>
            </w:r>
          </w:p>
        </w:tc>
        <w:tc>
          <w:tcPr>
            <w:tcW w:w="1986" w:type="dxa"/>
          </w:tcPr>
          <w:p w14:paraId="74E60BED" w14:textId="77777777" w:rsidR="00AF6529" w:rsidRPr="00F74979" w:rsidRDefault="00707B38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Javne potrebe iznad standarda – vlastiti prihodi</w:t>
            </w:r>
          </w:p>
        </w:tc>
        <w:tc>
          <w:tcPr>
            <w:tcW w:w="1289" w:type="dxa"/>
          </w:tcPr>
          <w:p w14:paraId="38648912" w14:textId="77777777" w:rsidR="00AF6529" w:rsidRPr="00F74979" w:rsidRDefault="000A299D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4.542,28</w:t>
            </w:r>
          </w:p>
        </w:tc>
        <w:tc>
          <w:tcPr>
            <w:tcW w:w="996" w:type="dxa"/>
          </w:tcPr>
          <w:p w14:paraId="03EB48B1" w14:textId="77777777" w:rsidR="00AF6529" w:rsidRPr="00F74979" w:rsidRDefault="000A299D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6.700,00</w:t>
            </w:r>
          </w:p>
        </w:tc>
        <w:tc>
          <w:tcPr>
            <w:tcW w:w="1180" w:type="dxa"/>
          </w:tcPr>
          <w:p w14:paraId="745056E9" w14:textId="77777777" w:rsidR="00AF6529" w:rsidRPr="00F74979" w:rsidRDefault="000A299D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7.000,00</w:t>
            </w:r>
          </w:p>
        </w:tc>
        <w:tc>
          <w:tcPr>
            <w:tcW w:w="1341" w:type="dxa"/>
          </w:tcPr>
          <w:p w14:paraId="492313B8" w14:textId="77777777" w:rsidR="00AF6529" w:rsidRPr="00F74979" w:rsidRDefault="000A299D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1.056,51</w:t>
            </w:r>
          </w:p>
        </w:tc>
        <w:tc>
          <w:tcPr>
            <w:tcW w:w="980" w:type="dxa"/>
          </w:tcPr>
          <w:p w14:paraId="61B8430C" w14:textId="77777777" w:rsidR="00AF6529" w:rsidRPr="00F74979" w:rsidRDefault="000A299D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23,26</w:t>
            </w:r>
          </w:p>
        </w:tc>
        <w:tc>
          <w:tcPr>
            <w:tcW w:w="890" w:type="dxa"/>
          </w:tcPr>
          <w:p w14:paraId="74F10EF4" w14:textId="77777777" w:rsidR="00AF6529" w:rsidRPr="00F74979" w:rsidRDefault="000A299D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15,09</w:t>
            </w:r>
          </w:p>
        </w:tc>
      </w:tr>
      <w:tr w:rsidR="000A299D" w:rsidRPr="00F74979" w14:paraId="4200DA02" w14:textId="77777777" w:rsidTr="000A299D">
        <w:tc>
          <w:tcPr>
            <w:tcW w:w="1137" w:type="dxa"/>
          </w:tcPr>
          <w:p w14:paraId="11370915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07642587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280056AE" w14:textId="77777777" w:rsidR="000A299D" w:rsidRPr="00F74979" w:rsidRDefault="000A299D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4.542,28</w:t>
            </w:r>
          </w:p>
        </w:tc>
        <w:tc>
          <w:tcPr>
            <w:tcW w:w="996" w:type="dxa"/>
          </w:tcPr>
          <w:p w14:paraId="300A1240" w14:textId="77777777" w:rsidR="000A299D" w:rsidRPr="00F74979" w:rsidRDefault="000A299D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6.700,00</w:t>
            </w:r>
          </w:p>
        </w:tc>
        <w:tc>
          <w:tcPr>
            <w:tcW w:w="1180" w:type="dxa"/>
          </w:tcPr>
          <w:p w14:paraId="0D6AEE34" w14:textId="77777777" w:rsidR="000A299D" w:rsidRPr="00F74979" w:rsidRDefault="000A299D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7.000,00</w:t>
            </w:r>
          </w:p>
        </w:tc>
        <w:tc>
          <w:tcPr>
            <w:tcW w:w="1341" w:type="dxa"/>
          </w:tcPr>
          <w:p w14:paraId="5A410945" w14:textId="77777777" w:rsidR="000A299D" w:rsidRPr="00F74979" w:rsidRDefault="000A299D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1.056,51</w:t>
            </w:r>
          </w:p>
        </w:tc>
        <w:tc>
          <w:tcPr>
            <w:tcW w:w="980" w:type="dxa"/>
          </w:tcPr>
          <w:p w14:paraId="0C0D87BE" w14:textId="77777777" w:rsidR="000A299D" w:rsidRPr="00F74979" w:rsidRDefault="000A299D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23,26</w:t>
            </w:r>
          </w:p>
        </w:tc>
        <w:tc>
          <w:tcPr>
            <w:tcW w:w="890" w:type="dxa"/>
          </w:tcPr>
          <w:p w14:paraId="7E1D382C" w14:textId="77777777" w:rsidR="000A299D" w:rsidRPr="00F74979" w:rsidRDefault="000A299D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15,09</w:t>
            </w:r>
          </w:p>
        </w:tc>
      </w:tr>
    </w:tbl>
    <w:p w14:paraId="35B85977" w14:textId="77777777" w:rsidR="00AF6529" w:rsidRPr="00F74979" w:rsidRDefault="00AF6529" w:rsidP="00AF6529">
      <w:pPr>
        <w:spacing w:after="0" w:line="240" w:lineRule="auto"/>
        <w:rPr>
          <w:rFonts w:cstheme="minorHAnsi"/>
          <w:b/>
          <w:bCs/>
        </w:rPr>
      </w:pPr>
    </w:p>
    <w:p w14:paraId="7C4D02CB" w14:textId="77777777" w:rsidR="00AF6529" w:rsidRPr="00F74979" w:rsidRDefault="00AF6529" w:rsidP="00AF6529">
      <w:pPr>
        <w:spacing w:after="0" w:line="240" w:lineRule="auto"/>
        <w:rPr>
          <w:rFonts w:cstheme="minorHAnsi"/>
          <w:b/>
          <w:highlight w:val="yellow"/>
        </w:rPr>
      </w:pPr>
    </w:p>
    <w:p w14:paraId="31711A69" w14:textId="77777777" w:rsidR="00AF6529" w:rsidRPr="00F74979" w:rsidRDefault="00AF6529" w:rsidP="00AF6529">
      <w:pPr>
        <w:spacing w:after="0" w:line="240" w:lineRule="auto"/>
        <w:rPr>
          <w:rFonts w:cstheme="minorHAnsi"/>
          <w:b/>
        </w:rPr>
      </w:pPr>
      <w:r w:rsidRPr="00F74979">
        <w:rPr>
          <w:rFonts w:cstheme="minorHAnsi"/>
          <w:b/>
        </w:rPr>
        <w:t xml:space="preserve">POKAZATELJI USPJEŠNOSTI </w:t>
      </w:r>
      <w:r w:rsidRPr="00F74979">
        <w:rPr>
          <w:rFonts w:cstheme="minorHAnsi"/>
          <w:b/>
          <w:u w:val="single"/>
        </w:rPr>
        <w:t>PROGRAMA</w:t>
      </w:r>
      <w:r w:rsidRPr="00F74979">
        <w:rPr>
          <w:rFonts w:cstheme="minorHAnsi"/>
          <w:b/>
        </w:rPr>
        <w:t xml:space="preserve">: 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1276"/>
        <w:gridCol w:w="1276"/>
        <w:gridCol w:w="1267"/>
        <w:gridCol w:w="1502"/>
      </w:tblGrid>
      <w:tr w:rsidR="00AF6529" w:rsidRPr="00F74979" w14:paraId="0B150157" w14:textId="77777777" w:rsidTr="003842D8">
        <w:trPr>
          <w:trHeight w:val="366"/>
        </w:trPr>
        <w:tc>
          <w:tcPr>
            <w:tcW w:w="1668" w:type="dxa"/>
            <w:vAlign w:val="center"/>
          </w:tcPr>
          <w:p w14:paraId="5B0F00F0" w14:textId="77777777" w:rsidR="00AF6529" w:rsidRPr="00F74979" w:rsidRDefault="00AF6529" w:rsidP="004E1461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Pokazatelj uspješnosti</w:t>
            </w:r>
          </w:p>
        </w:tc>
        <w:tc>
          <w:tcPr>
            <w:tcW w:w="3118" w:type="dxa"/>
            <w:vAlign w:val="center"/>
          </w:tcPr>
          <w:p w14:paraId="69A3EC60" w14:textId="77777777" w:rsidR="00AF6529" w:rsidRPr="00F74979" w:rsidRDefault="00AF6529" w:rsidP="004E1461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50AFFC03" w14:textId="77777777" w:rsidR="00AF6529" w:rsidRPr="00F74979" w:rsidRDefault="00AF6529" w:rsidP="004E1461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Jedinica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A63D077" w14:textId="77777777" w:rsidR="00AF6529" w:rsidRPr="00F74979" w:rsidRDefault="00AF6529" w:rsidP="004E1461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Polazna vrijednost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324122BF" w14:textId="77777777" w:rsidR="00AF6529" w:rsidRPr="00F74979" w:rsidRDefault="00AF6529" w:rsidP="004E1461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D81A" w14:textId="77777777" w:rsidR="00AF6529" w:rsidRPr="00F74979" w:rsidRDefault="00AF6529" w:rsidP="004E1461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Izvršenje 01.01.-30.06.2023.</w:t>
            </w:r>
          </w:p>
        </w:tc>
      </w:tr>
      <w:tr w:rsidR="00A727E7" w:rsidRPr="00F74979" w14:paraId="082CA481" w14:textId="77777777" w:rsidTr="003842D8">
        <w:trPr>
          <w:trHeight w:val="119"/>
        </w:trPr>
        <w:tc>
          <w:tcPr>
            <w:tcW w:w="1668" w:type="dxa"/>
          </w:tcPr>
          <w:p w14:paraId="3FE11A4E" w14:textId="77777777" w:rsidR="00A727E7" w:rsidRPr="00F74979" w:rsidRDefault="00A727E7" w:rsidP="00A727E7">
            <w:pPr>
              <w:rPr>
                <w:rFonts w:ascii="Calibri" w:hAnsi="Calibri" w:cs="Calibri"/>
              </w:rPr>
            </w:pPr>
            <w:r w:rsidRPr="00F74979">
              <w:rPr>
                <w:rFonts w:ascii="Calibri" w:eastAsia="Times New Roman" w:hAnsi="Calibri" w:cs="Calibri"/>
                <w:color w:val="000000"/>
              </w:rPr>
              <w:t>Nabava nefinancijske imovine i opreme za rad školskih praktikuma i škole općenito</w:t>
            </w:r>
          </w:p>
        </w:tc>
        <w:tc>
          <w:tcPr>
            <w:tcW w:w="3118" w:type="dxa"/>
          </w:tcPr>
          <w:p w14:paraId="39BB08EA" w14:textId="77777777" w:rsidR="00A727E7" w:rsidRPr="00F74979" w:rsidRDefault="00A727E7" w:rsidP="00A727E7">
            <w:pPr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Nabava opreme za školske strukovne praktikume poboljšava praktična znanja koja će omogućiti lakše napredovanje na nastavi i praksi izvan škole  te kasnije u radu</w:t>
            </w:r>
          </w:p>
        </w:tc>
        <w:tc>
          <w:tcPr>
            <w:tcW w:w="1276" w:type="dxa"/>
          </w:tcPr>
          <w:p w14:paraId="5751C608" w14:textId="77777777" w:rsidR="00A727E7" w:rsidRPr="00F74979" w:rsidRDefault="00A727E7" w:rsidP="00A727E7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Vrijednost nabavljene nove opreme u EUR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727169E" w14:textId="77777777" w:rsidR="00A727E7" w:rsidRPr="00F74979" w:rsidRDefault="00A727E7" w:rsidP="00A727E7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500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319B92F3" w14:textId="77777777" w:rsidR="00A727E7" w:rsidRPr="00F74979" w:rsidRDefault="00A727E7" w:rsidP="00A727E7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700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F51" w14:textId="77777777" w:rsidR="00A727E7" w:rsidRPr="00F74979" w:rsidRDefault="00661574" w:rsidP="004E1461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150</w:t>
            </w:r>
          </w:p>
        </w:tc>
      </w:tr>
      <w:tr w:rsidR="00A727E7" w:rsidRPr="00F74979" w14:paraId="50AEE255" w14:textId="77777777" w:rsidTr="003842D8">
        <w:trPr>
          <w:trHeight w:val="119"/>
        </w:trPr>
        <w:tc>
          <w:tcPr>
            <w:tcW w:w="1668" w:type="dxa"/>
          </w:tcPr>
          <w:p w14:paraId="33AFA6AE" w14:textId="77777777" w:rsidR="00A727E7" w:rsidRPr="00F74979" w:rsidRDefault="00A727E7" w:rsidP="00A727E7">
            <w:pPr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Broj aktivnost Učeničke zadruge</w:t>
            </w:r>
          </w:p>
        </w:tc>
        <w:tc>
          <w:tcPr>
            <w:tcW w:w="3118" w:type="dxa"/>
          </w:tcPr>
          <w:p w14:paraId="749A356D" w14:textId="77777777" w:rsidR="00A727E7" w:rsidRPr="00F74979" w:rsidRDefault="00A727E7" w:rsidP="00A727E7">
            <w:pPr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Sudjelovanjem na različitim manifestacijama kao što je Obrtnički sajam, Dan karijera, Tjedan st</w:t>
            </w:r>
            <w:r w:rsidR="00EB3F9E" w:rsidRPr="00F74979">
              <w:rPr>
                <w:rFonts w:ascii="Calibri" w:hAnsi="Calibri" w:cs="Calibri"/>
              </w:rPr>
              <w:t>rukovnog obrazovanja</w:t>
            </w:r>
            <w:r w:rsidRPr="00F74979">
              <w:rPr>
                <w:rFonts w:ascii="Calibri" w:hAnsi="Calibri" w:cs="Calibri"/>
              </w:rPr>
              <w:t xml:space="preserve"> i slično učenici će promovirati sebe, svoje vještine i školu</w:t>
            </w:r>
          </w:p>
        </w:tc>
        <w:tc>
          <w:tcPr>
            <w:tcW w:w="1276" w:type="dxa"/>
          </w:tcPr>
          <w:p w14:paraId="5B009D18" w14:textId="77777777" w:rsidR="00A727E7" w:rsidRPr="00F74979" w:rsidRDefault="00A727E7" w:rsidP="00A727E7">
            <w:pPr>
              <w:jc w:val="center"/>
              <w:rPr>
                <w:rFonts w:ascii="Calibri" w:hAnsi="Calibri" w:cs="Calibri"/>
                <w:b/>
              </w:rPr>
            </w:pPr>
            <w:r w:rsidRPr="00F74979">
              <w:rPr>
                <w:rFonts w:ascii="Calibri" w:hAnsi="Calibri" w:cs="Calibri"/>
                <w:b/>
              </w:rPr>
              <w:t>Broj aktivnosti u godini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977D5B" w14:textId="77777777" w:rsidR="00A727E7" w:rsidRPr="00F74979" w:rsidRDefault="00A727E7" w:rsidP="00A727E7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4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6BB0EB84" w14:textId="77777777" w:rsidR="00A727E7" w:rsidRPr="00F74979" w:rsidRDefault="00A727E7" w:rsidP="00A727E7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1086" w14:textId="77777777" w:rsidR="00A727E7" w:rsidRPr="00F74979" w:rsidRDefault="006E4A87" w:rsidP="004E1461">
            <w:pPr>
              <w:jc w:val="right"/>
              <w:rPr>
                <w:rFonts w:ascii="Calibri" w:hAnsi="Calibri" w:cs="Calibri"/>
              </w:rPr>
            </w:pPr>
            <w:r w:rsidRPr="00F74979">
              <w:rPr>
                <w:rFonts w:ascii="Calibri" w:hAnsi="Calibri" w:cs="Calibri"/>
              </w:rPr>
              <w:t>4</w:t>
            </w:r>
          </w:p>
        </w:tc>
      </w:tr>
    </w:tbl>
    <w:p w14:paraId="602DC83E" w14:textId="77777777" w:rsidR="00F5575E" w:rsidRPr="00F74979" w:rsidRDefault="00F5575E" w:rsidP="00F5575E">
      <w:pPr>
        <w:spacing w:after="0" w:line="240" w:lineRule="auto"/>
        <w:rPr>
          <w:rFonts w:cstheme="minorHAnsi"/>
          <w:b/>
        </w:rPr>
      </w:pPr>
    </w:p>
    <w:p w14:paraId="5767EBE8" w14:textId="77777777" w:rsidR="003842D8" w:rsidRPr="00F74979" w:rsidRDefault="003842D8" w:rsidP="00F5575E">
      <w:pPr>
        <w:spacing w:after="0" w:line="240" w:lineRule="auto"/>
        <w:rPr>
          <w:rFonts w:cstheme="minorHAnsi"/>
          <w:b/>
        </w:rPr>
      </w:pPr>
    </w:p>
    <w:p w14:paraId="48D20703" w14:textId="77777777" w:rsidR="000A299D" w:rsidRPr="00F74979" w:rsidRDefault="000A299D" w:rsidP="000A299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4979">
        <w:rPr>
          <w:rFonts w:ascii="Times New Roman" w:hAnsi="Times New Roman" w:cs="Times New Roman"/>
          <w:b/>
          <w:sz w:val="20"/>
          <w:szCs w:val="20"/>
          <w:highlight w:val="yellow"/>
        </w:rPr>
        <w:t>ŠIFRA I NAZIV PROGRAMA:</w:t>
      </w:r>
      <w:r w:rsidRPr="00F74979">
        <w:rPr>
          <w:rFonts w:ascii="Times New Roman" w:hAnsi="Times New Roman" w:cs="Times New Roman"/>
          <w:b/>
          <w:sz w:val="20"/>
          <w:szCs w:val="20"/>
          <w:highlight w:val="yellow"/>
        </w:rPr>
        <w:tab/>
      </w:r>
      <w:r w:rsidR="004E1461" w:rsidRPr="00F74979">
        <w:rPr>
          <w:rFonts w:ascii="Times New Roman" w:hAnsi="Times New Roman" w:cs="Times New Roman"/>
          <w:b/>
          <w:sz w:val="20"/>
          <w:szCs w:val="20"/>
          <w:highlight w:val="yellow"/>
        </w:rPr>
        <w:t>141 JAVNE POTREBE IZNAD ZAKONSKOG STANDARDA SŠ</w:t>
      </w:r>
    </w:p>
    <w:p w14:paraId="3C63CEDD" w14:textId="77777777" w:rsidR="003842D8" w:rsidRPr="00F74979" w:rsidRDefault="003842D8" w:rsidP="0067394C">
      <w:pPr>
        <w:spacing w:after="0" w:line="240" w:lineRule="auto"/>
        <w:rPr>
          <w:rFonts w:cstheme="minorHAnsi"/>
          <w:b/>
        </w:rPr>
      </w:pPr>
    </w:p>
    <w:p w14:paraId="5C03C6C8" w14:textId="77777777" w:rsidR="000A299D" w:rsidRPr="00F74979" w:rsidRDefault="000A299D" w:rsidP="0067394C">
      <w:pPr>
        <w:spacing w:after="0" w:line="240" w:lineRule="auto"/>
        <w:rPr>
          <w:rFonts w:cstheme="minorHAnsi"/>
          <w:b/>
        </w:rPr>
      </w:pPr>
      <w:r w:rsidRPr="00F74979">
        <w:rPr>
          <w:rFonts w:cstheme="minorHAnsi"/>
          <w:b/>
        </w:rPr>
        <w:t xml:space="preserve">SVRHA PROGRAMA: </w:t>
      </w:r>
    </w:p>
    <w:p w14:paraId="17EDBFF9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Cs/>
        </w:rPr>
      </w:pPr>
      <w:r w:rsidRPr="00F74979">
        <w:rPr>
          <w:rFonts w:cstheme="minorHAnsi"/>
        </w:rPr>
        <w:t>Svrha programa je pružanje dodatnih usluga u obrazovanju</w:t>
      </w:r>
      <w:r w:rsidRPr="00F74979">
        <w:rPr>
          <w:rFonts w:cstheme="minorHAnsi"/>
          <w:bCs/>
          <w:iCs/>
        </w:rPr>
        <w:t xml:space="preserve">. </w:t>
      </w:r>
      <w:r w:rsidRPr="00F74979">
        <w:rPr>
          <w:rFonts w:cstheme="minorHAnsi"/>
        </w:rPr>
        <w:t>Cilj svih djelatnosti škole je unapređenje i usavršavanje odgojno – obrazovnog procesa. Program se odnosi na organiziranje županijskih, međužupanijskih i državnih natjecanja, poticanju učenika na školovanje u deficitarna zanimanja, sudjelovanje u projektima, provođenje mobilnosti Erasmus+. Sudionici su kompletno osoblje škole, učenici i njihovi roditelji.</w:t>
      </w:r>
    </w:p>
    <w:p w14:paraId="16EA7AB7" w14:textId="77777777" w:rsidR="0067394C" w:rsidRPr="00F74979" w:rsidRDefault="0067394C" w:rsidP="0067394C">
      <w:pPr>
        <w:spacing w:after="0" w:line="240" w:lineRule="auto"/>
        <w:rPr>
          <w:rFonts w:cstheme="minorHAnsi"/>
          <w:b/>
        </w:rPr>
      </w:pPr>
    </w:p>
    <w:p w14:paraId="3C728E5B" w14:textId="77777777" w:rsidR="000A299D" w:rsidRPr="00F74979" w:rsidRDefault="000A299D" w:rsidP="0067394C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11CC04AA" w14:textId="77777777" w:rsidR="000A299D" w:rsidRPr="00F74979" w:rsidRDefault="000A299D" w:rsidP="0067394C">
      <w:pPr>
        <w:spacing w:after="0" w:line="240" w:lineRule="auto"/>
        <w:rPr>
          <w:rFonts w:cstheme="minorHAnsi"/>
          <w:bCs/>
          <w:iCs/>
        </w:rPr>
      </w:pPr>
      <w:r w:rsidRPr="00F74979">
        <w:rPr>
          <w:rFonts w:cstheme="minorHAnsi"/>
          <w:b/>
        </w:rPr>
        <w:t xml:space="preserve">POVEZANOST PROGRAMA SA STRATEŠKIM DOKUMENTIMA: </w:t>
      </w:r>
    </w:p>
    <w:p w14:paraId="5ADBABCC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/>
          <w:color w:val="FF0000"/>
        </w:rPr>
      </w:pPr>
      <w:r w:rsidRPr="00F74979">
        <w:rPr>
          <w:rFonts w:cstheme="minorHAnsi"/>
          <w:bCs/>
          <w:iCs/>
        </w:rPr>
        <w:t xml:space="preserve">Škola kroz ovaj program provodi aktivnosti pružanja dodatnih usluga u školstvu. Provode se aktivnosti dodatnih i izvannastavnih aktivnosti, aktivnosti mobilnosti kroz Erasmus+ projekte i razne građanske projekte usmjerene ka javnosti. Navedene aktivnosti se izvode prema kalendaru aktivnosti za školsku godinu koji su definirani Godišnjim planom i programom te Školskim kurikululom za pojedinu školsku godinu. </w:t>
      </w:r>
    </w:p>
    <w:p w14:paraId="385A9A3C" w14:textId="77777777" w:rsidR="000A299D" w:rsidRPr="00F74979" w:rsidRDefault="000A299D" w:rsidP="0067394C">
      <w:pPr>
        <w:spacing w:after="0" w:line="240" w:lineRule="auto"/>
        <w:rPr>
          <w:rFonts w:cstheme="minorHAnsi"/>
          <w:b/>
        </w:rPr>
      </w:pPr>
    </w:p>
    <w:p w14:paraId="06DBC392" w14:textId="77777777" w:rsidR="000A299D" w:rsidRPr="00F74979" w:rsidRDefault="000A299D" w:rsidP="0067394C">
      <w:pPr>
        <w:spacing w:after="0" w:line="240" w:lineRule="auto"/>
        <w:rPr>
          <w:rFonts w:cstheme="minorHAnsi"/>
        </w:rPr>
      </w:pPr>
      <w:r w:rsidRPr="00F74979">
        <w:rPr>
          <w:rFonts w:cstheme="minorHAnsi"/>
          <w:b/>
        </w:rPr>
        <w:t xml:space="preserve">ZAKONSKE I DRUGE PODLOGE NA KOJIMA SE PROGRAM ZASNIVA: </w:t>
      </w:r>
    </w:p>
    <w:p w14:paraId="37EA6E5D" w14:textId="77777777" w:rsidR="004E1461" w:rsidRPr="00F74979" w:rsidRDefault="004E1461" w:rsidP="0067394C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F74979">
        <w:rPr>
          <w:rFonts w:cstheme="minorHAnsi"/>
          <w:bCs/>
          <w:lang w:eastAsia="ar-SA"/>
        </w:rPr>
        <w:t xml:space="preserve">- Zakon o radu (NN </w:t>
      </w:r>
      <w:hyperlink r:id="rId8" w:history="1">
        <w:r w:rsidRPr="00F74979">
          <w:rPr>
            <w:rFonts w:cstheme="minorHAnsi"/>
            <w:lang w:eastAsia="ar-SA"/>
          </w:rPr>
          <w:t>93/14</w:t>
        </w:r>
      </w:hyperlink>
      <w:r w:rsidRPr="00F74979">
        <w:rPr>
          <w:rFonts w:cstheme="minorHAnsi"/>
          <w:bCs/>
          <w:lang w:eastAsia="ar-SA"/>
        </w:rPr>
        <w:t>, </w:t>
      </w:r>
      <w:hyperlink r:id="rId9" w:history="1">
        <w:r w:rsidRPr="00F74979">
          <w:rPr>
            <w:rFonts w:cstheme="minorHAnsi"/>
            <w:lang w:eastAsia="ar-SA"/>
          </w:rPr>
          <w:t>127/17</w:t>
        </w:r>
      </w:hyperlink>
      <w:r w:rsidRPr="00F74979">
        <w:rPr>
          <w:rFonts w:cstheme="minorHAnsi"/>
          <w:bCs/>
          <w:lang w:eastAsia="ar-SA"/>
        </w:rPr>
        <w:t>, </w:t>
      </w:r>
      <w:hyperlink r:id="rId10" w:tgtFrame="_blank" w:history="1">
        <w:r w:rsidRPr="00F74979">
          <w:rPr>
            <w:rFonts w:cstheme="minorHAnsi"/>
            <w:lang w:eastAsia="ar-SA"/>
          </w:rPr>
          <w:t>98/19</w:t>
        </w:r>
      </w:hyperlink>
      <w:r w:rsidRPr="00F74979">
        <w:rPr>
          <w:rFonts w:cstheme="minorHAnsi"/>
          <w:bCs/>
          <w:lang w:eastAsia="ar-SA"/>
        </w:rPr>
        <w:t>)</w:t>
      </w:r>
    </w:p>
    <w:p w14:paraId="3798B3B6" w14:textId="77777777" w:rsidR="004E1461" w:rsidRPr="00F74979" w:rsidRDefault="004E1461" w:rsidP="0067394C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F74979">
        <w:rPr>
          <w:rFonts w:cstheme="minorHAnsi"/>
          <w:bCs/>
          <w:lang w:eastAsia="ar-SA"/>
        </w:rPr>
        <w:t>- Temeljni kolektivni ugovor za javne službenike i namještenike ( NN 56/2022)</w:t>
      </w:r>
    </w:p>
    <w:p w14:paraId="7833235B" w14:textId="77777777" w:rsidR="004E1461" w:rsidRPr="00F74979" w:rsidRDefault="004E1461" w:rsidP="0067394C">
      <w:pPr>
        <w:spacing w:after="0" w:line="240" w:lineRule="auto"/>
        <w:rPr>
          <w:rFonts w:cstheme="minorHAnsi"/>
          <w:color w:val="000000"/>
          <w:shd w:val="clear" w:color="auto" w:fill="F4F4F6"/>
        </w:rPr>
      </w:pPr>
      <w:r w:rsidRPr="00F74979">
        <w:rPr>
          <w:rFonts w:cstheme="minorHAnsi"/>
          <w:bCs/>
          <w:lang w:eastAsia="ar-SA"/>
        </w:rPr>
        <w:lastRenderedPageBreak/>
        <w:t>- Kolektivni ugovor za zaposlene u srednjoškolskim ustanovama (NN 51/2018)</w:t>
      </w:r>
      <w:r w:rsidRPr="00F74979">
        <w:rPr>
          <w:rFonts w:cstheme="minorHAnsi"/>
          <w:color w:val="000000"/>
          <w:shd w:val="clear" w:color="auto" w:fill="F4F4F6"/>
        </w:rPr>
        <w:t> </w:t>
      </w:r>
    </w:p>
    <w:p w14:paraId="5CE05CE2" w14:textId="77777777" w:rsidR="004E1461" w:rsidRPr="00F74979" w:rsidRDefault="004E1461" w:rsidP="0067394C">
      <w:pPr>
        <w:pStyle w:val="Naslov3"/>
        <w:spacing w:before="0" w:beforeAutospacing="0" w:after="0" w:afterAutospacing="0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F74979">
        <w:rPr>
          <w:rFonts w:asciiTheme="minorHAnsi" w:hAnsiTheme="minorHAnsi" w:cstheme="minorHAnsi"/>
          <w:b w:val="0"/>
          <w:bCs w:val="0"/>
          <w:sz w:val="22"/>
          <w:szCs w:val="22"/>
        </w:rPr>
        <w:t>- Zakon o proračunu RH (NN, broj 87/08, 136/12, 15/15,</w:t>
      </w:r>
      <w:r w:rsidRPr="00F74979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144/21</w:t>
      </w:r>
      <w:r w:rsidRPr="00F74979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</w:p>
    <w:p w14:paraId="265829A3" w14:textId="77777777" w:rsidR="004E1461" w:rsidRPr="00F74979" w:rsidRDefault="004E1461" w:rsidP="0067394C">
      <w:pPr>
        <w:spacing w:after="0" w:line="240" w:lineRule="auto"/>
        <w:rPr>
          <w:rFonts w:cstheme="minorHAnsi"/>
          <w:bCs/>
        </w:rPr>
      </w:pPr>
      <w:r w:rsidRPr="00F74979">
        <w:rPr>
          <w:rFonts w:cstheme="minorHAnsi"/>
          <w:bCs/>
        </w:rPr>
        <w:t>- Zakon o odgoju i obrazovanju u osnovnim i srednjim školama (NN, broj 94/13,152/14, 68/18,</w:t>
      </w:r>
      <w:r w:rsidRPr="00F74979">
        <w:rPr>
          <w:rFonts w:eastAsia="Times New Roman" w:cstheme="minorHAnsi"/>
          <w:bCs/>
          <w:color w:val="000000"/>
        </w:rPr>
        <w:t xml:space="preserve"> 64/20</w:t>
      </w:r>
      <w:r w:rsidRPr="00F74979">
        <w:rPr>
          <w:rFonts w:cstheme="minorHAnsi"/>
          <w:bCs/>
        </w:rPr>
        <w:t>)</w:t>
      </w:r>
    </w:p>
    <w:p w14:paraId="1F421C65" w14:textId="77777777" w:rsidR="004E1461" w:rsidRPr="00F74979" w:rsidRDefault="004E1461" w:rsidP="0067394C">
      <w:pPr>
        <w:spacing w:after="0" w:line="240" w:lineRule="auto"/>
        <w:rPr>
          <w:rFonts w:cstheme="minorHAnsi"/>
          <w:bCs/>
        </w:rPr>
      </w:pPr>
      <w:r w:rsidRPr="00F74979">
        <w:rPr>
          <w:rFonts w:cstheme="minorHAnsi"/>
          <w:bCs/>
        </w:rPr>
        <w:t>- Upute za izradu Proračuna Karlovačke županije za razdoblje 2023.-2025.</w:t>
      </w:r>
    </w:p>
    <w:p w14:paraId="464821C9" w14:textId="77777777" w:rsidR="004E1461" w:rsidRPr="00F74979" w:rsidRDefault="004E1461" w:rsidP="0067394C">
      <w:pPr>
        <w:spacing w:after="0" w:line="240" w:lineRule="auto"/>
        <w:rPr>
          <w:rFonts w:cstheme="minorHAnsi"/>
        </w:rPr>
      </w:pPr>
      <w:r w:rsidRPr="00F74979">
        <w:rPr>
          <w:rFonts w:cstheme="minorHAnsi"/>
        </w:rPr>
        <w:t>- Ugovor o dodjeli bespovratnih sredstava za projekt s jednim korisnikom u okviru programa ERASMUS+, broj ugovora – 2022-1-HR01-KA122-VET-000073892</w:t>
      </w:r>
    </w:p>
    <w:p w14:paraId="584506B7" w14:textId="77777777" w:rsidR="004E1461" w:rsidRPr="00F74979" w:rsidRDefault="004E1461" w:rsidP="0067394C">
      <w:pPr>
        <w:spacing w:after="0" w:line="240" w:lineRule="auto"/>
        <w:rPr>
          <w:rFonts w:cstheme="minorHAnsi"/>
        </w:rPr>
      </w:pPr>
      <w:r w:rsidRPr="00F74979">
        <w:rPr>
          <w:rFonts w:cstheme="minorHAnsi"/>
        </w:rPr>
        <w:t>- Ugovor o tekućem računu u Privrednoj banci Zagreb</w:t>
      </w:r>
    </w:p>
    <w:p w14:paraId="6B1F8D7E" w14:textId="77777777" w:rsidR="004E1461" w:rsidRPr="00F74979" w:rsidRDefault="004E1461" w:rsidP="0067394C">
      <w:pPr>
        <w:snapToGrid w:val="0"/>
        <w:spacing w:after="0" w:line="240" w:lineRule="auto"/>
        <w:ind w:right="150"/>
        <w:jc w:val="both"/>
        <w:rPr>
          <w:rFonts w:cstheme="minorHAnsi"/>
        </w:rPr>
      </w:pPr>
      <w:r w:rsidRPr="00F74979">
        <w:rPr>
          <w:rFonts w:cstheme="minorHAnsi"/>
        </w:rPr>
        <w:t>- Opći uvjeti poslovanja Privredne banke Zagreb</w:t>
      </w:r>
    </w:p>
    <w:p w14:paraId="34841402" w14:textId="77777777" w:rsidR="000A299D" w:rsidRPr="00F74979" w:rsidRDefault="000A299D" w:rsidP="000A299D">
      <w:pPr>
        <w:spacing w:after="0" w:line="240" w:lineRule="auto"/>
        <w:rPr>
          <w:rFonts w:cstheme="minorHAnsi"/>
        </w:rPr>
      </w:pPr>
    </w:p>
    <w:p w14:paraId="4A0066AB" w14:textId="77777777" w:rsidR="000A299D" w:rsidRPr="00F74979" w:rsidRDefault="000A299D" w:rsidP="000A299D">
      <w:pPr>
        <w:spacing w:after="0" w:line="240" w:lineRule="auto"/>
        <w:rPr>
          <w:rFonts w:cstheme="minorHAnsi"/>
          <w:b/>
          <w:bCs/>
        </w:rPr>
      </w:pPr>
      <w:r w:rsidRPr="00F74979">
        <w:rPr>
          <w:rFonts w:cstheme="minorHAnsi"/>
          <w:b/>
          <w:bCs/>
        </w:rPr>
        <w:t xml:space="preserve">IZVRŠENJE </w:t>
      </w:r>
      <w:r w:rsidRPr="00F74979">
        <w:rPr>
          <w:rFonts w:cstheme="minorHAnsi"/>
          <w:b/>
          <w:bCs/>
          <w:u w:val="single"/>
        </w:rPr>
        <w:t>PROGRAMA</w:t>
      </w:r>
      <w:r w:rsidRPr="00F74979">
        <w:rPr>
          <w:rFonts w:cstheme="minorHAnsi"/>
          <w:b/>
          <w:bCs/>
        </w:rPr>
        <w:t xml:space="preserve"> S OSVRTOM NA CILJEVE KOJI SU OSTVARENI NJEGOVOM PROVEDBOM:</w:t>
      </w:r>
    </w:p>
    <w:p w14:paraId="0C6F9513" w14:textId="77777777" w:rsidR="006B2C8C" w:rsidRPr="00F74979" w:rsidRDefault="006B2C8C" w:rsidP="0067394C">
      <w:pPr>
        <w:spacing w:after="0" w:line="240" w:lineRule="auto"/>
        <w:jc w:val="both"/>
        <w:rPr>
          <w:rFonts w:cstheme="minorHAnsi"/>
          <w:bCs/>
        </w:rPr>
      </w:pPr>
      <w:r w:rsidRPr="00F74979">
        <w:rPr>
          <w:rFonts w:cstheme="minorHAnsi"/>
          <w:bCs/>
        </w:rPr>
        <w:t>U trenutku pisanja polugodišnjeg izvršenja u školi nema učenika koji se školuju za deficitarno zanimanje tesara zbog toga što je u školskoj godini 2021./2022. maturiralo 5 učenika, a niti jedan novi učenik nije upisan u prvi razred u školsku godinu 2022./2023. Unatoč naporima u promociji deficitarnih zanimanja i Odluci Karlovačke županije o sufinanciranju školovanja redovitih učenika u deficitarnim strukovnim zanimanjima nitko nije bio zainteresiran za upis u smjer tesar. Nužno je uz produžetak Odluci Karlovačke županije o sufinanciranju školovanja redovitih učenika u deficitarnim strukovnim zanimanjima na novu školsku godinu uložiti i dodatne napore u promociju zanimanja kako bi se privukli učenici da se školuju u deficitarnim zanimanjima. Obzirom da se upisi u novu školsku godinu vrše u srpnju, trenutno nije moguće definirati rezultate postavljenih ciljeva jer će se to moći tek kada se završe upisi u novu školsku godinu.</w:t>
      </w:r>
    </w:p>
    <w:p w14:paraId="2FB6C369" w14:textId="77777777" w:rsidR="00AD5BAF" w:rsidRPr="00F74979" w:rsidRDefault="006B2C8C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 xml:space="preserve">U tekućoj školskoj godini </w:t>
      </w:r>
      <w:r w:rsidRPr="00F74979">
        <w:rPr>
          <w:rFonts w:cstheme="minorHAnsi"/>
          <w:bCs/>
        </w:rPr>
        <w:t xml:space="preserve">realiziran je Erasmus + projekt.  </w:t>
      </w:r>
      <w:r w:rsidRPr="00F74979">
        <w:rPr>
          <w:rFonts w:cstheme="minorHAnsi"/>
          <w:color w:val="000000"/>
        </w:rPr>
        <w:t>„</w:t>
      </w:r>
      <w:r w:rsidRPr="00F74979">
        <w:rPr>
          <w:rFonts w:cstheme="minorHAnsi"/>
          <w:bCs/>
        </w:rPr>
        <w:t xml:space="preserve">MIOS-KA mobilnosti“ je jednogodišnji projekt Mješovite industrijsko – obrtničke škole u kojem  je </w:t>
      </w:r>
      <w:r w:rsidR="00AD5BAF" w:rsidRPr="00F74979">
        <w:rPr>
          <w:rFonts w:cstheme="minorHAnsi"/>
          <w:bCs/>
        </w:rPr>
        <w:t xml:space="preserve">u mobilnosti u </w:t>
      </w:r>
      <w:r w:rsidRPr="00F74979">
        <w:rPr>
          <w:rFonts w:cstheme="minorHAnsi"/>
          <w:bCs/>
        </w:rPr>
        <w:t xml:space="preserve">Portugalu </w:t>
      </w:r>
      <w:r w:rsidRPr="00F74979">
        <w:rPr>
          <w:rFonts w:cstheme="minorHAnsi"/>
        </w:rPr>
        <w:t xml:space="preserve">od </w:t>
      </w:r>
      <w:r w:rsidR="00AD5BAF" w:rsidRPr="00F74979">
        <w:rPr>
          <w:rFonts w:cstheme="minorHAnsi"/>
        </w:rPr>
        <w:t xml:space="preserve"> 12.11. – 26.11. 2022. sudjelovalo </w:t>
      </w:r>
      <w:r w:rsidRPr="00F74979">
        <w:rPr>
          <w:rFonts w:cstheme="minorHAnsi"/>
        </w:rPr>
        <w:t>15 učenika ( arh. i građ. teh, kozmetičarke, autolakirer, fotograf, rukovatelj sam. građ. strojevima)</w:t>
      </w:r>
      <w:r w:rsidR="00AD5BAF" w:rsidRPr="00F74979">
        <w:rPr>
          <w:rFonts w:cstheme="minorHAnsi"/>
        </w:rPr>
        <w:t xml:space="preserve"> i dva profesora i u mobilnosti u Njemačkoj od 18.2. do 11.3. 2023. 14 učenika i 2 profesora. Uz navedeno jedna je profesorica sudjelovala u aktivnosti job shadowing u Njemačkoj 2023. godini.</w:t>
      </w:r>
    </w:p>
    <w:p w14:paraId="11734DE4" w14:textId="77777777" w:rsidR="00A841AD" w:rsidRPr="00F74979" w:rsidRDefault="00AD5BAF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 xml:space="preserve">U prvoj polovici 2023. godine ukupno je 29 učenika sudjelovalo na državnim natjecanjima i to: njih 14 na državnom prvenstvu u rukometu, njih 10 na državnom natjecanju za učenike s poteškoćama u razvoju i  njih 5 na državnom natjecanju Worldskills 2023. u disciplinama kozmetičari, arhitektonske tehnologije, </w:t>
      </w:r>
      <w:r w:rsidR="00A841AD" w:rsidRPr="00F74979">
        <w:rPr>
          <w:rFonts w:cstheme="minorHAnsi"/>
        </w:rPr>
        <w:t>graditeljske tehnologije</w:t>
      </w:r>
      <w:r w:rsidR="00B04636" w:rsidRPr="00F74979">
        <w:rPr>
          <w:rFonts w:cstheme="minorHAnsi"/>
        </w:rPr>
        <w:t xml:space="preserve">, </w:t>
      </w:r>
      <w:r w:rsidR="00A841AD" w:rsidRPr="00F74979">
        <w:rPr>
          <w:rFonts w:cstheme="minorHAnsi"/>
        </w:rPr>
        <w:t>soboslikarstvo i keramičarstvo.</w:t>
      </w:r>
      <w:r w:rsidR="0067394C" w:rsidRPr="00F74979">
        <w:rPr>
          <w:rFonts w:cstheme="minorHAnsi"/>
        </w:rPr>
        <w:t xml:space="preserve"> </w:t>
      </w:r>
      <w:r w:rsidR="00B04636" w:rsidRPr="00F74979">
        <w:rPr>
          <w:rFonts w:cstheme="minorHAnsi"/>
        </w:rPr>
        <w:t>U r</w:t>
      </w:r>
      <w:r w:rsidR="005105E8" w:rsidRPr="00F74979">
        <w:rPr>
          <w:rFonts w:cstheme="minorHAnsi"/>
        </w:rPr>
        <w:t>ukomet</w:t>
      </w:r>
      <w:r w:rsidR="00B04636" w:rsidRPr="00F74979">
        <w:rPr>
          <w:rFonts w:cstheme="minorHAnsi"/>
        </w:rPr>
        <w:t>u su učenici osvojili  9. m</w:t>
      </w:r>
      <w:r w:rsidR="005105E8" w:rsidRPr="00F74979">
        <w:rPr>
          <w:rFonts w:cstheme="minorHAnsi"/>
        </w:rPr>
        <w:t xml:space="preserve">jesto, </w:t>
      </w:r>
      <w:r w:rsidR="00B04636" w:rsidRPr="00F74979">
        <w:rPr>
          <w:rFonts w:cstheme="minorHAnsi"/>
        </w:rPr>
        <w:t>u kozmetičkoj njezi</w:t>
      </w:r>
      <w:r w:rsidR="005105E8" w:rsidRPr="00F74979">
        <w:rPr>
          <w:rFonts w:cstheme="minorHAnsi"/>
        </w:rPr>
        <w:t xml:space="preserve"> 1. </w:t>
      </w:r>
      <w:r w:rsidR="00B04636" w:rsidRPr="00F74979">
        <w:rPr>
          <w:rFonts w:cstheme="minorHAnsi"/>
        </w:rPr>
        <w:t>m</w:t>
      </w:r>
      <w:r w:rsidR="005105E8" w:rsidRPr="00F74979">
        <w:rPr>
          <w:rFonts w:cstheme="minorHAnsi"/>
        </w:rPr>
        <w:t>jesto</w:t>
      </w:r>
      <w:r w:rsidR="00B04636" w:rsidRPr="00F74979">
        <w:rPr>
          <w:rFonts w:cstheme="minorHAnsi"/>
        </w:rPr>
        <w:t xml:space="preserve">, u kategoriji arhitektonske tehnologije </w:t>
      </w:r>
      <w:r w:rsidR="005105E8" w:rsidRPr="00F74979">
        <w:rPr>
          <w:rFonts w:cstheme="minorHAnsi"/>
        </w:rPr>
        <w:t xml:space="preserve">8. </w:t>
      </w:r>
      <w:r w:rsidR="00B04636" w:rsidRPr="00F74979">
        <w:rPr>
          <w:rFonts w:cstheme="minorHAnsi"/>
        </w:rPr>
        <w:t>m</w:t>
      </w:r>
      <w:r w:rsidR="005105E8" w:rsidRPr="00F74979">
        <w:rPr>
          <w:rFonts w:cstheme="minorHAnsi"/>
        </w:rPr>
        <w:t>jesto</w:t>
      </w:r>
      <w:r w:rsidR="00B04636" w:rsidRPr="00F74979">
        <w:rPr>
          <w:rFonts w:cstheme="minorHAnsi"/>
        </w:rPr>
        <w:t xml:space="preserve">, u kategoriji </w:t>
      </w:r>
      <w:r w:rsidR="005105E8" w:rsidRPr="00F74979">
        <w:rPr>
          <w:rFonts w:cstheme="minorHAnsi"/>
        </w:rPr>
        <w:t xml:space="preserve">graditeljske tehnologije 10. </w:t>
      </w:r>
      <w:r w:rsidR="00B04636" w:rsidRPr="00F74979">
        <w:rPr>
          <w:rFonts w:cstheme="minorHAnsi"/>
        </w:rPr>
        <w:t>m</w:t>
      </w:r>
      <w:r w:rsidR="005105E8" w:rsidRPr="00F74979">
        <w:rPr>
          <w:rFonts w:cstheme="minorHAnsi"/>
        </w:rPr>
        <w:t>jesto</w:t>
      </w:r>
      <w:r w:rsidR="00B04636" w:rsidRPr="00F74979">
        <w:rPr>
          <w:rFonts w:cstheme="minorHAnsi"/>
        </w:rPr>
        <w:t xml:space="preserve">, u kategoriji </w:t>
      </w:r>
      <w:r w:rsidR="005105E8" w:rsidRPr="00F74979">
        <w:rPr>
          <w:rFonts w:cstheme="minorHAnsi"/>
        </w:rPr>
        <w:t xml:space="preserve">soboslikarstvo 5. </w:t>
      </w:r>
      <w:r w:rsidR="00B04636" w:rsidRPr="00F74979">
        <w:rPr>
          <w:rFonts w:cstheme="minorHAnsi"/>
        </w:rPr>
        <w:t>m</w:t>
      </w:r>
      <w:r w:rsidR="005105E8" w:rsidRPr="00F74979">
        <w:rPr>
          <w:rFonts w:cstheme="minorHAnsi"/>
        </w:rPr>
        <w:t>jesto</w:t>
      </w:r>
      <w:r w:rsidR="00B04636" w:rsidRPr="00F74979">
        <w:rPr>
          <w:rFonts w:cstheme="minorHAnsi"/>
        </w:rPr>
        <w:t xml:space="preserve">, u kategoriji </w:t>
      </w:r>
      <w:r w:rsidR="005105E8" w:rsidRPr="00F74979">
        <w:rPr>
          <w:rFonts w:cstheme="minorHAnsi"/>
        </w:rPr>
        <w:t>keramičarstvo 4.</w:t>
      </w:r>
      <w:r w:rsidR="00B04636" w:rsidRPr="00F74979">
        <w:rPr>
          <w:rFonts w:cstheme="minorHAnsi"/>
        </w:rPr>
        <w:t>m</w:t>
      </w:r>
      <w:r w:rsidR="005105E8" w:rsidRPr="00F74979">
        <w:rPr>
          <w:rFonts w:cstheme="minorHAnsi"/>
        </w:rPr>
        <w:t>jesto</w:t>
      </w:r>
      <w:r w:rsidR="00B04636" w:rsidRPr="00F74979">
        <w:rPr>
          <w:rFonts w:cstheme="minorHAnsi"/>
        </w:rPr>
        <w:t xml:space="preserve">,na natjecanju učenika s poteškoćama u razvoju </w:t>
      </w:r>
      <w:r w:rsidR="00A841AD" w:rsidRPr="00F74979">
        <w:rPr>
          <w:rFonts w:cstheme="minorHAnsi"/>
        </w:rPr>
        <w:t>brončanu medalju u atletici na 400 m, brončanu medalju u atletici na 80 m, dvije zlatne medalje u plivanju (25 m, prsno i slobodno plivanje)</w:t>
      </w:r>
      <w:r w:rsidR="00B04636" w:rsidRPr="00F74979">
        <w:rPr>
          <w:rFonts w:cstheme="minorHAnsi"/>
        </w:rPr>
        <w:t xml:space="preserve">, </w:t>
      </w:r>
      <w:r w:rsidR="00A841AD" w:rsidRPr="00F74979">
        <w:rPr>
          <w:rFonts w:cstheme="minorHAnsi"/>
        </w:rPr>
        <w:t>srebrnu medalju u prsnom plivanju i brončanu medalju u slobodnom plivanju.</w:t>
      </w:r>
    </w:p>
    <w:p w14:paraId="0F7FE6E4" w14:textId="77777777" w:rsidR="00B04636" w:rsidRPr="00F74979" w:rsidRDefault="00B04636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>Primljene su dvije donacije Hrvatskog školskog sportskog saveza za dnevnice pratiteljima na državnim natjecanjima u ukupnom iznosu 291,94 EUR i jedna od KA TRAVEL za dnevnice pratitelja na terenskoj nastavi u iznosu 238,95 EUR.</w:t>
      </w:r>
    </w:p>
    <w:p w14:paraId="38C9821C" w14:textId="77777777" w:rsidR="00B04636" w:rsidRPr="00F74979" w:rsidRDefault="00B04636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>Realizirano je 5 terenskih nastava, i to u Sarajevo, u Ljubljanu, na Krk, Zorin dom na predstavu i posjet Hrvatskom Saboru.</w:t>
      </w:r>
    </w:p>
    <w:p w14:paraId="25913860" w14:textId="77777777" w:rsidR="00B04636" w:rsidRPr="00F74979" w:rsidRDefault="00B04636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>Obzirom da su prihodi od kamata na depozite po viđenju niski obično se čeka da se skupe kroz godinu kako bi se utrošili tako da za sada nisu utrošeni prihod</w:t>
      </w:r>
      <w:r w:rsidR="004A7D8C" w:rsidRPr="00F74979">
        <w:rPr>
          <w:rFonts w:cstheme="minorHAnsi"/>
        </w:rPr>
        <w:t>i od kamata po depozitima po viđ</w:t>
      </w:r>
      <w:r w:rsidRPr="00F74979">
        <w:rPr>
          <w:rFonts w:cstheme="minorHAnsi"/>
        </w:rPr>
        <w:t xml:space="preserve">enju u iznosu 12,09 EUR  i preneseni višak iz 2022. godine po navedenoj aktivnosti </w:t>
      </w:r>
      <w:r w:rsidR="004A7D8C" w:rsidRPr="00F74979">
        <w:rPr>
          <w:rFonts w:cstheme="minorHAnsi"/>
        </w:rPr>
        <w:t>1,15 EUR.</w:t>
      </w:r>
    </w:p>
    <w:p w14:paraId="4F2C8A4C" w14:textId="77777777" w:rsidR="004A7D8C" w:rsidRPr="00F74979" w:rsidRDefault="004A7D8C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>Također, nisu utrošena sredstva od prihoda od nefinancijske imovine i to u iznosu prihoda u 2023. godine u ukupnom iznosu 59,14EUR i prenesenog viška iz 2022. godine u ukupnom iznosu od 31.473,42 EUR iz razloga što se čekaju rezultati natječaja za sufinanciranje izrade projektne dokumentacije uređenja zgrade Škole koja je kupljena, ali još nije uređena i stavljena u funkciju obrazovanja te će se sredstva uložiti u navedenu svrhu.</w:t>
      </w:r>
    </w:p>
    <w:p w14:paraId="7AC27420" w14:textId="77777777" w:rsidR="004A7D8C" w:rsidRPr="00F74979" w:rsidRDefault="004A7D8C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>Škola je bila domaćim županijskom natjecanju iz geografije i međužupanijskom natjecanju iz frizerstva i soboslikarstva te je u skladu s limitima osnivača podnesen zahtjev za sufinanciranje troškova organizacije i podnesen o izvješće o provedenim natjecanjima.</w:t>
      </w:r>
    </w:p>
    <w:p w14:paraId="10EDECC2" w14:textId="77777777" w:rsidR="006B2C8C" w:rsidRPr="00F74979" w:rsidRDefault="006B2C8C" w:rsidP="0067394C">
      <w:pPr>
        <w:spacing w:after="0" w:line="240" w:lineRule="auto"/>
        <w:jc w:val="both"/>
        <w:rPr>
          <w:rFonts w:cstheme="minorHAnsi"/>
        </w:rPr>
      </w:pPr>
    </w:p>
    <w:p w14:paraId="12A08F25" w14:textId="77777777" w:rsidR="004A7D8C" w:rsidRPr="00F74979" w:rsidRDefault="004A7D8C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  <w:b/>
        </w:rPr>
        <w:t>Aktivnost A100078 Županijske javne potrebe SŠ</w:t>
      </w:r>
      <w:r w:rsidRPr="00F74979">
        <w:rPr>
          <w:rFonts w:cstheme="minorHAnsi"/>
        </w:rPr>
        <w:t xml:space="preserve"> – ukupno je utrošeno 187,06 EUR za organizaciju županijskih i međužupanijskih natjecanja.</w:t>
      </w:r>
    </w:p>
    <w:p w14:paraId="34A0288D" w14:textId="77777777" w:rsidR="004A7D8C" w:rsidRPr="00F74979" w:rsidRDefault="004A7D8C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  <w:b/>
        </w:rPr>
        <w:t>Aktivnost A100142B Prihodi od nefinancijske imovine i nadoknade štete s osnova osiguranja</w:t>
      </w:r>
      <w:r w:rsidRPr="00F74979">
        <w:rPr>
          <w:rFonts w:cstheme="minorHAnsi"/>
        </w:rPr>
        <w:t xml:space="preserve"> nisu realizirane, kako je i gore objašnjeno.</w:t>
      </w:r>
    </w:p>
    <w:p w14:paraId="7F408635" w14:textId="77777777" w:rsidR="004A7D8C" w:rsidRPr="00F74979" w:rsidRDefault="004A7D8C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  <w:b/>
        </w:rPr>
        <w:lastRenderedPageBreak/>
        <w:t>Aktivnost A100159A  Javne potrebe iznad standarda – donacije</w:t>
      </w:r>
      <w:r w:rsidRPr="00F74979">
        <w:rPr>
          <w:rFonts w:cstheme="minorHAnsi"/>
        </w:rPr>
        <w:t xml:space="preserve"> su realizirane u ukupnom iznosu 530,89 EUR, odnosno 5,15% ukupnog godišnjeg plana jer se očekuje još do kraja godine donacije rabljene imovine i materijala.</w:t>
      </w:r>
    </w:p>
    <w:p w14:paraId="6969890D" w14:textId="77777777" w:rsidR="004A7D8C" w:rsidRPr="00F74979" w:rsidRDefault="00C72363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  <w:b/>
        </w:rPr>
        <w:t>Aktivnost A100161A Javne potreba iznad standarda – ostalo</w:t>
      </w:r>
      <w:r w:rsidRPr="00F74979">
        <w:rPr>
          <w:rFonts w:cstheme="minorHAnsi"/>
        </w:rPr>
        <w:t xml:space="preserve"> obuhvaćaju rashode za prijevoz na terenske nastave, nabavu radnih mapa za učenike i osiguranje učenika. U prvoj polovici godine je realizirano 2.785,84 EUR, odnosno 43,19 % planiranog godišnjeg iznosa i to, za usluge prijevoza učenika na terenske nastave. </w:t>
      </w:r>
    </w:p>
    <w:p w14:paraId="10BBA3D9" w14:textId="77777777" w:rsidR="00C72363" w:rsidRPr="00F74979" w:rsidRDefault="00C72363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  <w:b/>
        </w:rPr>
        <w:t>Aktivnost A100162A Prijenos sredstava od nenadležnih proračuna</w:t>
      </w:r>
      <w:r w:rsidRPr="00F74979">
        <w:rPr>
          <w:rFonts w:cstheme="minorHAnsi"/>
        </w:rPr>
        <w:t xml:space="preserve"> se odnosi na uplate Ministarstva znanosti i obrazovanja i to je ostvareno ukupno 1.190,42 EUR rashoda i to 172,1 EUR za isplatu mentorstva djelatniku prilikom polaganja stručnog ispita druge djelatnice, 114,19 EUR rashoda za nabavu opreme za dvije učenice iz Ukrajine temeljem Odluke Ministarstva znanosti i obrazovanja i 811,72 EUR za nabavku menstrualnih potrepština prema Odluci Ministarstva rada i socijalne skrbi. </w:t>
      </w:r>
    </w:p>
    <w:p w14:paraId="0989736F" w14:textId="77777777" w:rsidR="00C72363" w:rsidRPr="00F74979" w:rsidRDefault="00C72363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  <w:b/>
        </w:rPr>
        <w:t>Aktivnost A100163A Javne potrebe iznad standarda – EU PROJEKTI</w:t>
      </w:r>
      <w:r w:rsidRPr="00F74979">
        <w:rPr>
          <w:rFonts w:cstheme="minorHAnsi"/>
        </w:rPr>
        <w:t xml:space="preserve"> se odnosi na provedbu Erasmus projekata i ukupno je realizirano 41.958,07 EUR rashoda za provedbu mobilnosti u Njemačkoj job shadowing za jednu djelatnicu također u Njemačkoj, i to 7.916,79 EUR za profesore na račun stručnog osposobljavanja, 33.987,42 EUR za troškove života, smještaja puta i putnog osiguranja učenika tijekom trotjedne stručne prakse u Njemačkoj te 53,86 EUR putno osiguranje profesora u pratnji.</w:t>
      </w:r>
    </w:p>
    <w:p w14:paraId="791E1441" w14:textId="77777777" w:rsidR="003B5DC8" w:rsidRPr="00F74979" w:rsidRDefault="003B5DC8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  <w:b/>
        </w:rPr>
        <w:t>Aktivnost A100166A Prihodi od financijske imovine</w:t>
      </w:r>
      <w:r w:rsidRPr="00F74979">
        <w:rPr>
          <w:rFonts w:cstheme="minorHAnsi"/>
        </w:rPr>
        <w:t xml:space="preserve"> - nisu realizirani rashodi, kako je gore objašnjeno.</w:t>
      </w:r>
    </w:p>
    <w:p w14:paraId="11FC04E4" w14:textId="77777777" w:rsidR="003B5DC8" w:rsidRPr="00F74979" w:rsidRDefault="003B5DC8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  <w:b/>
        </w:rPr>
        <w:t>Aktivnost A100218 Financiranje deficitarnih zanimanja</w:t>
      </w:r>
      <w:r w:rsidRPr="00F74979">
        <w:rPr>
          <w:rFonts w:cstheme="minorHAnsi"/>
        </w:rPr>
        <w:t xml:space="preserve"> su planirani u iznosu 3.100,00 EUR, ali nisu realizirani prihodi ni rashodi jer se u ovoj školskoj godini ne školuju učenici za koje Osnivač sufinancira troškove školovanja, tako da će se vidjeti situacija nakon upisa u novu školsku godinu.</w:t>
      </w:r>
    </w:p>
    <w:p w14:paraId="0C545B4C" w14:textId="77777777" w:rsidR="000A299D" w:rsidRPr="00F74979" w:rsidRDefault="000A299D" w:rsidP="000A299D">
      <w:pPr>
        <w:spacing w:after="0" w:line="240" w:lineRule="auto"/>
        <w:rPr>
          <w:rFonts w:cstheme="minorHAnsi"/>
          <w:bCs/>
        </w:rPr>
      </w:pPr>
    </w:p>
    <w:p w14:paraId="1B3F3C7E" w14:textId="77777777" w:rsidR="000A299D" w:rsidRPr="00F74979" w:rsidRDefault="000A299D" w:rsidP="000A299D">
      <w:pPr>
        <w:spacing w:after="0" w:line="240" w:lineRule="auto"/>
        <w:rPr>
          <w:rFonts w:cstheme="minorHAnsi"/>
          <w:bCs/>
        </w:rPr>
      </w:pPr>
    </w:p>
    <w:p w14:paraId="640064FE" w14:textId="77777777" w:rsidR="000A299D" w:rsidRPr="00F74979" w:rsidRDefault="000A299D" w:rsidP="000A299D">
      <w:pPr>
        <w:spacing w:after="0" w:line="240" w:lineRule="auto"/>
        <w:rPr>
          <w:rFonts w:cstheme="minorHAnsi"/>
          <w:b/>
          <w:bCs/>
        </w:rPr>
      </w:pPr>
      <w:r w:rsidRPr="00F74979">
        <w:rPr>
          <w:rFonts w:cstheme="minorHAnsi"/>
          <w:b/>
          <w:bCs/>
        </w:rPr>
        <w:t>IZVRŠENJE FINANCIJSKOG PLANA ZA SIJEČANJ-LIPANJ 2023.</w:t>
      </w:r>
    </w:p>
    <w:tbl>
      <w:tblPr>
        <w:tblStyle w:val="Reetkatablice"/>
        <w:tblW w:w="10232" w:type="dxa"/>
        <w:tblLook w:val="04A0" w:firstRow="1" w:lastRow="0" w:firstColumn="1" w:lastColumn="0" w:noHBand="0" w:noVBand="1"/>
      </w:tblPr>
      <w:tblGrid>
        <w:gridCol w:w="1097"/>
        <w:gridCol w:w="2052"/>
        <w:gridCol w:w="1329"/>
        <w:gridCol w:w="1266"/>
        <w:gridCol w:w="1266"/>
        <w:gridCol w:w="1329"/>
        <w:gridCol w:w="972"/>
        <w:gridCol w:w="921"/>
      </w:tblGrid>
      <w:tr w:rsidR="000A299D" w:rsidRPr="00F74979" w14:paraId="49C83E36" w14:textId="77777777" w:rsidTr="00897600">
        <w:trPr>
          <w:trHeight w:val="1068"/>
        </w:trPr>
        <w:tc>
          <w:tcPr>
            <w:tcW w:w="1097" w:type="dxa"/>
          </w:tcPr>
          <w:p w14:paraId="7E2F5F74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052" w:type="dxa"/>
          </w:tcPr>
          <w:p w14:paraId="7A6DD6A7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329" w:type="dxa"/>
          </w:tcPr>
          <w:p w14:paraId="62D0CC10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1266" w:type="dxa"/>
          </w:tcPr>
          <w:p w14:paraId="7F316457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 xml:space="preserve">PLAN </w:t>
            </w:r>
          </w:p>
          <w:p w14:paraId="24E35857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266" w:type="dxa"/>
          </w:tcPr>
          <w:p w14:paraId="40C0C976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 xml:space="preserve">I REBALANS </w:t>
            </w:r>
          </w:p>
          <w:p w14:paraId="3EFD9520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29" w:type="dxa"/>
          </w:tcPr>
          <w:p w14:paraId="214EBDA0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972" w:type="dxa"/>
          </w:tcPr>
          <w:p w14:paraId="64CD6429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INDEKS %</w:t>
            </w:r>
          </w:p>
          <w:p w14:paraId="36886C36" w14:textId="77777777" w:rsidR="00897600" w:rsidRPr="00F74979" w:rsidRDefault="00897600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921" w:type="dxa"/>
          </w:tcPr>
          <w:p w14:paraId="2AAC1C00" w14:textId="77777777" w:rsidR="000A299D" w:rsidRPr="00F74979" w:rsidRDefault="000A299D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INDEKS %</w:t>
            </w:r>
          </w:p>
          <w:p w14:paraId="27BAF14F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6/</w:t>
            </w:r>
            <w:r w:rsidR="00897600" w:rsidRPr="00F74979">
              <w:rPr>
                <w:rFonts w:cstheme="minorHAnsi"/>
                <w:b/>
                <w:bCs/>
              </w:rPr>
              <w:t>5</w:t>
            </w:r>
          </w:p>
        </w:tc>
      </w:tr>
      <w:tr w:rsidR="000A299D" w:rsidRPr="00F74979" w14:paraId="62968156" w14:textId="77777777" w:rsidTr="00897600">
        <w:trPr>
          <w:trHeight w:val="264"/>
        </w:trPr>
        <w:tc>
          <w:tcPr>
            <w:tcW w:w="1097" w:type="dxa"/>
          </w:tcPr>
          <w:p w14:paraId="220787A5" w14:textId="77777777" w:rsidR="000A299D" w:rsidRPr="00F74979" w:rsidRDefault="000A299D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52" w:type="dxa"/>
          </w:tcPr>
          <w:p w14:paraId="15EB793F" w14:textId="77777777" w:rsidR="000A299D" w:rsidRPr="00F74979" w:rsidRDefault="000A299D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29" w:type="dxa"/>
          </w:tcPr>
          <w:p w14:paraId="05971120" w14:textId="77777777" w:rsidR="000A299D" w:rsidRPr="00F74979" w:rsidRDefault="000A299D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66" w:type="dxa"/>
          </w:tcPr>
          <w:p w14:paraId="0F78A4B0" w14:textId="77777777" w:rsidR="000A299D" w:rsidRPr="00F74979" w:rsidRDefault="000A299D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66" w:type="dxa"/>
          </w:tcPr>
          <w:p w14:paraId="22529FEC" w14:textId="77777777" w:rsidR="000A299D" w:rsidRPr="00F74979" w:rsidRDefault="000A299D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29" w:type="dxa"/>
          </w:tcPr>
          <w:p w14:paraId="56CDEC1C" w14:textId="77777777" w:rsidR="000A299D" w:rsidRPr="00F74979" w:rsidRDefault="000A299D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72" w:type="dxa"/>
          </w:tcPr>
          <w:p w14:paraId="34E7E409" w14:textId="77777777" w:rsidR="000A299D" w:rsidRPr="00F74979" w:rsidRDefault="000A299D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21" w:type="dxa"/>
          </w:tcPr>
          <w:p w14:paraId="3F23FC65" w14:textId="77777777" w:rsidR="000A299D" w:rsidRPr="00F74979" w:rsidRDefault="000A299D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8</w:t>
            </w:r>
          </w:p>
        </w:tc>
      </w:tr>
      <w:tr w:rsidR="004E1461" w:rsidRPr="00F74979" w14:paraId="4C1B1171" w14:textId="77777777" w:rsidTr="00897600">
        <w:trPr>
          <w:trHeight w:val="804"/>
        </w:trPr>
        <w:tc>
          <w:tcPr>
            <w:tcW w:w="1097" w:type="dxa"/>
          </w:tcPr>
          <w:p w14:paraId="42ECA77E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1.</w:t>
            </w:r>
          </w:p>
        </w:tc>
        <w:tc>
          <w:tcPr>
            <w:tcW w:w="2052" w:type="dxa"/>
          </w:tcPr>
          <w:p w14:paraId="0BE27228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A100078 Županijske javne potrebe SŠ</w:t>
            </w:r>
          </w:p>
        </w:tc>
        <w:tc>
          <w:tcPr>
            <w:tcW w:w="1329" w:type="dxa"/>
          </w:tcPr>
          <w:p w14:paraId="094212CB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131,40</w:t>
            </w:r>
          </w:p>
        </w:tc>
        <w:tc>
          <w:tcPr>
            <w:tcW w:w="1266" w:type="dxa"/>
          </w:tcPr>
          <w:p w14:paraId="46D7BA4E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266,00</w:t>
            </w:r>
          </w:p>
        </w:tc>
        <w:tc>
          <w:tcPr>
            <w:tcW w:w="1266" w:type="dxa"/>
          </w:tcPr>
          <w:p w14:paraId="5D1323E4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266,00</w:t>
            </w:r>
          </w:p>
        </w:tc>
        <w:tc>
          <w:tcPr>
            <w:tcW w:w="1329" w:type="dxa"/>
          </w:tcPr>
          <w:p w14:paraId="4254CEB3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187,06</w:t>
            </w:r>
          </w:p>
        </w:tc>
        <w:tc>
          <w:tcPr>
            <w:tcW w:w="972" w:type="dxa"/>
          </w:tcPr>
          <w:p w14:paraId="4A8A7FF2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142,36</w:t>
            </w:r>
          </w:p>
        </w:tc>
        <w:tc>
          <w:tcPr>
            <w:tcW w:w="921" w:type="dxa"/>
          </w:tcPr>
          <w:p w14:paraId="3E5B355D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70,32</w:t>
            </w:r>
          </w:p>
        </w:tc>
      </w:tr>
      <w:tr w:rsidR="004E1461" w:rsidRPr="00F74979" w14:paraId="31A33410" w14:textId="77777777" w:rsidTr="00897600">
        <w:trPr>
          <w:trHeight w:val="1345"/>
        </w:trPr>
        <w:tc>
          <w:tcPr>
            <w:tcW w:w="1097" w:type="dxa"/>
          </w:tcPr>
          <w:p w14:paraId="45790207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2.</w:t>
            </w:r>
          </w:p>
        </w:tc>
        <w:tc>
          <w:tcPr>
            <w:tcW w:w="2052" w:type="dxa"/>
          </w:tcPr>
          <w:p w14:paraId="4E4FA88C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A100142B Prihodi od nefinancijske imovine i nadoknade štete s osnova osiguranja</w:t>
            </w:r>
          </w:p>
        </w:tc>
        <w:tc>
          <w:tcPr>
            <w:tcW w:w="1329" w:type="dxa"/>
          </w:tcPr>
          <w:p w14:paraId="6101F32D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1266" w:type="dxa"/>
          </w:tcPr>
          <w:p w14:paraId="22DAE9E7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31.000,00</w:t>
            </w:r>
          </w:p>
        </w:tc>
        <w:tc>
          <w:tcPr>
            <w:tcW w:w="1266" w:type="dxa"/>
          </w:tcPr>
          <w:p w14:paraId="434C139E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31.566,68</w:t>
            </w:r>
          </w:p>
        </w:tc>
        <w:tc>
          <w:tcPr>
            <w:tcW w:w="1329" w:type="dxa"/>
          </w:tcPr>
          <w:p w14:paraId="58995FED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72" w:type="dxa"/>
          </w:tcPr>
          <w:p w14:paraId="0F01E489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21" w:type="dxa"/>
          </w:tcPr>
          <w:p w14:paraId="56A922A7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</w:tr>
      <w:tr w:rsidR="004E1461" w:rsidRPr="00F74979" w14:paraId="319AEB15" w14:textId="77777777" w:rsidTr="00897600">
        <w:trPr>
          <w:trHeight w:val="1081"/>
        </w:trPr>
        <w:tc>
          <w:tcPr>
            <w:tcW w:w="1097" w:type="dxa"/>
          </w:tcPr>
          <w:p w14:paraId="5D112A05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3.</w:t>
            </w:r>
          </w:p>
        </w:tc>
        <w:tc>
          <w:tcPr>
            <w:tcW w:w="2052" w:type="dxa"/>
          </w:tcPr>
          <w:p w14:paraId="7685E458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A100159A Javne potrebe iznad standarda - donacije</w:t>
            </w:r>
          </w:p>
        </w:tc>
        <w:tc>
          <w:tcPr>
            <w:tcW w:w="1329" w:type="dxa"/>
          </w:tcPr>
          <w:p w14:paraId="0995FEB4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1.801,29</w:t>
            </w:r>
          </w:p>
        </w:tc>
        <w:tc>
          <w:tcPr>
            <w:tcW w:w="1266" w:type="dxa"/>
          </w:tcPr>
          <w:p w14:paraId="5A59073F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10.000,00</w:t>
            </w:r>
          </w:p>
        </w:tc>
        <w:tc>
          <w:tcPr>
            <w:tcW w:w="1266" w:type="dxa"/>
          </w:tcPr>
          <w:p w14:paraId="2477DD25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10.300,00</w:t>
            </w:r>
          </w:p>
        </w:tc>
        <w:tc>
          <w:tcPr>
            <w:tcW w:w="1329" w:type="dxa"/>
          </w:tcPr>
          <w:p w14:paraId="256BA571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530,89</w:t>
            </w:r>
          </w:p>
        </w:tc>
        <w:tc>
          <w:tcPr>
            <w:tcW w:w="972" w:type="dxa"/>
          </w:tcPr>
          <w:p w14:paraId="2DB6A117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29,47</w:t>
            </w:r>
          </w:p>
        </w:tc>
        <w:tc>
          <w:tcPr>
            <w:tcW w:w="921" w:type="dxa"/>
          </w:tcPr>
          <w:p w14:paraId="524EBC4E" w14:textId="77777777" w:rsidR="004E1461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5,15</w:t>
            </w:r>
          </w:p>
        </w:tc>
      </w:tr>
      <w:tr w:rsidR="00897600" w:rsidRPr="00F74979" w14:paraId="0620AB39" w14:textId="77777777" w:rsidTr="00897600">
        <w:trPr>
          <w:trHeight w:val="804"/>
        </w:trPr>
        <w:tc>
          <w:tcPr>
            <w:tcW w:w="1097" w:type="dxa"/>
          </w:tcPr>
          <w:p w14:paraId="1F3949F1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4.</w:t>
            </w:r>
          </w:p>
        </w:tc>
        <w:tc>
          <w:tcPr>
            <w:tcW w:w="2052" w:type="dxa"/>
          </w:tcPr>
          <w:p w14:paraId="73D656B3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A100161A Javne potrebe iznad standarda - ostalo</w:t>
            </w:r>
          </w:p>
        </w:tc>
        <w:tc>
          <w:tcPr>
            <w:tcW w:w="1329" w:type="dxa"/>
          </w:tcPr>
          <w:p w14:paraId="00C8FB0E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238,90</w:t>
            </w:r>
          </w:p>
        </w:tc>
        <w:tc>
          <w:tcPr>
            <w:tcW w:w="1266" w:type="dxa"/>
          </w:tcPr>
          <w:p w14:paraId="3953FC76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6.080,00</w:t>
            </w:r>
          </w:p>
        </w:tc>
        <w:tc>
          <w:tcPr>
            <w:tcW w:w="1266" w:type="dxa"/>
          </w:tcPr>
          <w:p w14:paraId="6609136E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6.450,00</w:t>
            </w:r>
          </w:p>
        </w:tc>
        <w:tc>
          <w:tcPr>
            <w:tcW w:w="1329" w:type="dxa"/>
          </w:tcPr>
          <w:p w14:paraId="053B6318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2.785,84</w:t>
            </w:r>
          </w:p>
        </w:tc>
        <w:tc>
          <w:tcPr>
            <w:tcW w:w="972" w:type="dxa"/>
          </w:tcPr>
          <w:p w14:paraId="5255340F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1166,11</w:t>
            </w:r>
          </w:p>
        </w:tc>
        <w:tc>
          <w:tcPr>
            <w:tcW w:w="921" w:type="dxa"/>
          </w:tcPr>
          <w:p w14:paraId="29BB00F6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43,19</w:t>
            </w:r>
          </w:p>
        </w:tc>
      </w:tr>
      <w:tr w:rsidR="00897600" w:rsidRPr="00F74979" w14:paraId="4A274CDC" w14:textId="77777777" w:rsidTr="00897600">
        <w:trPr>
          <w:trHeight w:val="1068"/>
        </w:trPr>
        <w:tc>
          <w:tcPr>
            <w:tcW w:w="1097" w:type="dxa"/>
          </w:tcPr>
          <w:p w14:paraId="2E55529F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5.</w:t>
            </w:r>
          </w:p>
        </w:tc>
        <w:tc>
          <w:tcPr>
            <w:tcW w:w="2052" w:type="dxa"/>
          </w:tcPr>
          <w:p w14:paraId="1A4F57FC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A100162A Prijenos sredstava od nenadležnih proračuna</w:t>
            </w:r>
          </w:p>
        </w:tc>
        <w:tc>
          <w:tcPr>
            <w:tcW w:w="1329" w:type="dxa"/>
          </w:tcPr>
          <w:p w14:paraId="70EF1731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5.207,49</w:t>
            </w:r>
          </w:p>
        </w:tc>
        <w:tc>
          <w:tcPr>
            <w:tcW w:w="1266" w:type="dxa"/>
          </w:tcPr>
          <w:p w14:paraId="1F5998EE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25.822,00</w:t>
            </w:r>
          </w:p>
        </w:tc>
        <w:tc>
          <w:tcPr>
            <w:tcW w:w="1266" w:type="dxa"/>
          </w:tcPr>
          <w:p w14:paraId="4B4CAC1D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26.896,72</w:t>
            </w:r>
          </w:p>
        </w:tc>
        <w:tc>
          <w:tcPr>
            <w:tcW w:w="1329" w:type="dxa"/>
          </w:tcPr>
          <w:p w14:paraId="5773C394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1.190,42</w:t>
            </w:r>
          </w:p>
        </w:tc>
        <w:tc>
          <w:tcPr>
            <w:tcW w:w="972" w:type="dxa"/>
          </w:tcPr>
          <w:p w14:paraId="0F22E5F3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22,86</w:t>
            </w:r>
          </w:p>
        </w:tc>
        <w:tc>
          <w:tcPr>
            <w:tcW w:w="921" w:type="dxa"/>
          </w:tcPr>
          <w:p w14:paraId="48DC654E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4,43</w:t>
            </w:r>
          </w:p>
        </w:tc>
      </w:tr>
      <w:tr w:rsidR="000A299D" w:rsidRPr="00F74979" w14:paraId="2EB871D9" w14:textId="77777777" w:rsidTr="00897600">
        <w:trPr>
          <w:trHeight w:val="1081"/>
        </w:trPr>
        <w:tc>
          <w:tcPr>
            <w:tcW w:w="1097" w:type="dxa"/>
          </w:tcPr>
          <w:p w14:paraId="60BC607F" w14:textId="77777777" w:rsidR="000A299D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6.</w:t>
            </w:r>
          </w:p>
        </w:tc>
        <w:tc>
          <w:tcPr>
            <w:tcW w:w="2052" w:type="dxa"/>
          </w:tcPr>
          <w:p w14:paraId="35CEDA67" w14:textId="77777777" w:rsidR="000A299D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A100163A Javne potrebe iznad standarda – EU PROJEKTI</w:t>
            </w:r>
          </w:p>
        </w:tc>
        <w:tc>
          <w:tcPr>
            <w:tcW w:w="1329" w:type="dxa"/>
          </w:tcPr>
          <w:p w14:paraId="5B9D7B55" w14:textId="77777777" w:rsidR="000A299D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4.426,25</w:t>
            </w:r>
          </w:p>
        </w:tc>
        <w:tc>
          <w:tcPr>
            <w:tcW w:w="1266" w:type="dxa"/>
          </w:tcPr>
          <w:p w14:paraId="43914485" w14:textId="77777777" w:rsidR="000A299D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49.500,00</w:t>
            </w:r>
          </w:p>
        </w:tc>
        <w:tc>
          <w:tcPr>
            <w:tcW w:w="1266" w:type="dxa"/>
          </w:tcPr>
          <w:p w14:paraId="36FE7796" w14:textId="77777777" w:rsidR="000A299D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67.182,62</w:t>
            </w:r>
          </w:p>
        </w:tc>
        <w:tc>
          <w:tcPr>
            <w:tcW w:w="1329" w:type="dxa"/>
          </w:tcPr>
          <w:p w14:paraId="5B3E8417" w14:textId="77777777" w:rsidR="000A299D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41.958,07</w:t>
            </w:r>
          </w:p>
        </w:tc>
        <w:tc>
          <w:tcPr>
            <w:tcW w:w="972" w:type="dxa"/>
          </w:tcPr>
          <w:p w14:paraId="085E54F4" w14:textId="77777777" w:rsidR="000A299D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947,94</w:t>
            </w:r>
          </w:p>
        </w:tc>
        <w:tc>
          <w:tcPr>
            <w:tcW w:w="921" w:type="dxa"/>
          </w:tcPr>
          <w:p w14:paraId="25EDCC04" w14:textId="77777777" w:rsidR="000A299D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62.45</w:t>
            </w:r>
          </w:p>
        </w:tc>
      </w:tr>
      <w:tr w:rsidR="00897600" w:rsidRPr="00F74979" w14:paraId="5934363D" w14:textId="77777777" w:rsidTr="00897600">
        <w:trPr>
          <w:trHeight w:val="817"/>
        </w:trPr>
        <w:tc>
          <w:tcPr>
            <w:tcW w:w="1097" w:type="dxa"/>
          </w:tcPr>
          <w:p w14:paraId="74F454BD" w14:textId="77777777" w:rsidR="00897600" w:rsidRPr="00F74979" w:rsidRDefault="00897600" w:rsidP="004E1461">
            <w:pPr>
              <w:rPr>
                <w:rFonts w:cstheme="minorHAnsi"/>
                <w:bCs/>
              </w:rPr>
            </w:pPr>
            <w:r w:rsidRPr="00F74979">
              <w:rPr>
                <w:rFonts w:cstheme="minorHAnsi"/>
                <w:bCs/>
              </w:rPr>
              <w:t>7.</w:t>
            </w:r>
          </w:p>
        </w:tc>
        <w:tc>
          <w:tcPr>
            <w:tcW w:w="2052" w:type="dxa"/>
          </w:tcPr>
          <w:p w14:paraId="5C63DEBB" w14:textId="77777777" w:rsidR="00897600" w:rsidRPr="00F74979" w:rsidRDefault="00897600" w:rsidP="004E1461">
            <w:pPr>
              <w:rPr>
                <w:rFonts w:cstheme="minorHAnsi"/>
                <w:bCs/>
              </w:rPr>
            </w:pPr>
            <w:r w:rsidRPr="00F74979">
              <w:rPr>
                <w:rFonts w:cstheme="minorHAnsi"/>
                <w:bCs/>
              </w:rPr>
              <w:t>A100166A Prihodi od financijske imovine - korisnici</w:t>
            </w:r>
          </w:p>
        </w:tc>
        <w:tc>
          <w:tcPr>
            <w:tcW w:w="1329" w:type="dxa"/>
          </w:tcPr>
          <w:p w14:paraId="7E648060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1266" w:type="dxa"/>
          </w:tcPr>
          <w:p w14:paraId="709DD7E9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3,00</w:t>
            </w:r>
          </w:p>
        </w:tc>
        <w:tc>
          <w:tcPr>
            <w:tcW w:w="1266" w:type="dxa"/>
          </w:tcPr>
          <w:p w14:paraId="7270FB5B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51,15</w:t>
            </w:r>
          </w:p>
        </w:tc>
        <w:tc>
          <w:tcPr>
            <w:tcW w:w="1329" w:type="dxa"/>
          </w:tcPr>
          <w:p w14:paraId="7367B9AE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72" w:type="dxa"/>
          </w:tcPr>
          <w:p w14:paraId="6D4B5081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21" w:type="dxa"/>
          </w:tcPr>
          <w:p w14:paraId="7D5C4E49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</w:tr>
      <w:tr w:rsidR="00897600" w:rsidRPr="00F74979" w14:paraId="53CEE237" w14:textId="77777777" w:rsidTr="00897600">
        <w:trPr>
          <w:trHeight w:val="553"/>
        </w:trPr>
        <w:tc>
          <w:tcPr>
            <w:tcW w:w="1097" w:type="dxa"/>
          </w:tcPr>
          <w:p w14:paraId="43119568" w14:textId="77777777" w:rsidR="00897600" w:rsidRPr="00F74979" w:rsidRDefault="00897600" w:rsidP="004E1461">
            <w:pPr>
              <w:rPr>
                <w:rFonts w:cstheme="minorHAnsi"/>
                <w:bCs/>
              </w:rPr>
            </w:pPr>
            <w:r w:rsidRPr="00F74979">
              <w:rPr>
                <w:rFonts w:cstheme="minorHAnsi"/>
                <w:bCs/>
              </w:rPr>
              <w:lastRenderedPageBreak/>
              <w:t>8.</w:t>
            </w:r>
          </w:p>
        </w:tc>
        <w:tc>
          <w:tcPr>
            <w:tcW w:w="2052" w:type="dxa"/>
          </w:tcPr>
          <w:p w14:paraId="149D890E" w14:textId="77777777" w:rsidR="00897600" w:rsidRPr="00F74979" w:rsidRDefault="00897600" w:rsidP="004E1461">
            <w:pPr>
              <w:rPr>
                <w:rFonts w:cstheme="minorHAnsi"/>
                <w:bCs/>
              </w:rPr>
            </w:pPr>
            <w:r w:rsidRPr="00F74979">
              <w:rPr>
                <w:rFonts w:cstheme="minorHAnsi"/>
                <w:bCs/>
              </w:rPr>
              <w:t>A100218 Financiranje deficitarnih zanimanja</w:t>
            </w:r>
          </w:p>
        </w:tc>
        <w:tc>
          <w:tcPr>
            <w:tcW w:w="1329" w:type="dxa"/>
          </w:tcPr>
          <w:p w14:paraId="7A9FA27E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535,92</w:t>
            </w:r>
          </w:p>
        </w:tc>
        <w:tc>
          <w:tcPr>
            <w:tcW w:w="1266" w:type="dxa"/>
          </w:tcPr>
          <w:p w14:paraId="5929B5C1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3.100,00</w:t>
            </w:r>
          </w:p>
        </w:tc>
        <w:tc>
          <w:tcPr>
            <w:tcW w:w="1266" w:type="dxa"/>
          </w:tcPr>
          <w:p w14:paraId="302EA23A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3.100,00</w:t>
            </w:r>
          </w:p>
        </w:tc>
        <w:tc>
          <w:tcPr>
            <w:tcW w:w="1329" w:type="dxa"/>
          </w:tcPr>
          <w:p w14:paraId="0812613E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72" w:type="dxa"/>
          </w:tcPr>
          <w:p w14:paraId="442936A7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21" w:type="dxa"/>
          </w:tcPr>
          <w:p w14:paraId="7C22882B" w14:textId="77777777" w:rsidR="00897600" w:rsidRPr="00F74979" w:rsidRDefault="00897600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</w:tr>
      <w:tr w:rsidR="00897600" w:rsidRPr="00F74979" w14:paraId="65FB0067" w14:textId="77777777" w:rsidTr="00897600">
        <w:trPr>
          <w:trHeight w:val="419"/>
        </w:trPr>
        <w:tc>
          <w:tcPr>
            <w:tcW w:w="3149" w:type="dxa"/>
            <w:gridSpan w:val="2"/>
          </w:tcPr>
          <w:p w14:paraId="42C936EA" w14:textId="77777777" w:rsidR="00897600" w:rsidRPr="00F74979" w:rsidRDefault="00897600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329" w:type="dxa"/>
          </w:tcPr>
          <w:p w14:paraId="3C4C8E2B" w14:textId="77777777" w:rsidR="00897600" w:rsidRPr="00F74979" w:rsidRDefault="00897600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12.341,25</w:t>
            </w:r>
          </w:p>
        </w:tc>
        <w:tc>
          <w:tcPr>
            <w:tcW w:w="1266" w:type="dxa"/>
          </w:tcPr>
          <w:p w14:paraId="5FF6D552" w14:textId="77777777" w:rsidR="00897600" w:rsidRPr="00F74979" w:rsidRDefault="00897600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125.871,00</w:t>
            </w:r>
          </w:p>
        </w:tc>
        <w:tc>
          <w:tcPr>
            <w:tcW w:w="1266" w:type="dxa"/>
          </w:tcPr>
          <w:p w14:paraId="1B62927E" w14:textId="77777777" w:rsidR="00897600" w:rsidRPr="00F74979" w:rsidRDefault="00897600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145.813,17</w:t>
            </w:r>
          </w:p>
        </w:tc>
        <w:tc>
          <w:tcPr>
            <w:tcW w:w="1329" w:type="dxa"/>
          </w:tcPr>
          <w:p w14:paraId="2F9AAE3C" w14:textId="77777777" w:rsidR="00897600" w:rsidRPr="00F74979" w:rsidRDefault="009E574C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46.652,28</w:t>
            </w:r>
          </w:p>
        </w:tc>
        <w:tc>
          <w:tcPr>
            <w:tcW w:w="972" w:type="dxa"/>
          </w:tcPr>
          <w:p w14:paraId="5C1B120E" w14:textId="77777777" w:rsidR="00897600" w:rsidRPr="00F74979" w:rsidRDefault="00897600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378,02</w:t>
            </w:r>
          </w:p>
        </w:tc>
        <w:tc>
          <w:tcPr>
            <w:tcW w:w="921" w:type="dxa"/>
          </w:tcPr>
          <w:p w14:paraId="15909042" w14:textId="77777777" w:rsidR="00897600" w:rsidRPr="00F74979" w:rsidRDefault="00897600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31,99</w:t>
            </w:r>
          </w:p>
        </w:tc>
      </w:tr>
    </w:tbl>
    <w:p w14:paraId="694B53BF" w14:textId="77777777" w:rsidR="000A299D" w:rsidRPr="00F74979" w:rsidRDefault="000A299D" w:rsidP="000A299D">
      <w:pPr>
        <w:spacing w:after="0" w:line="240" w:lineRule="auto"/>
        <w:rPr>
          <w:rFonts w:cstheme="minorHAnsi"/>
          <w:b/>
          <w:bCs/>
        </w:rPr>
      </w:pPr>
    </w:p>
    <w:p w14:paraId="09D8A88C" w14:textId="77777777" w:rsidR="000A299D" w:rsidRPr="00F74979" w:rsidRDefault="000A299D" w:rsidP="000A299D">
      <w:pPr>
        <w:spacing w:after="0" w:line="240" w:lineRule="auto"/>
        <w:rPr>
          <w:rFonts w:cstheme="minorHAnsi"/>
          <w:b/>
          <w:highlight w:val="yellow"/>
        </w:rPr>
      </w:pPr>
    </w:p>
    <w:p w14:paraId="57C6B463" w14:textId="77777777" w:rsidR="000A299D" w:rsidRPr="00F74979" w:rsidRDefault="000A299D" w:rsidP="000A299D">
      <w:pPr>
        <w:spacing w:after="0" w:line="240" w:lineRule="auto"/>
        <w:rPr>
          <w:rFonts w:cstheme="minorHAnsi"/>
          <w:b/>
        </w:rPr>
      </w:pPr>
      <w:r w:rsidRPr="00F74979">
        <w:rPr>
          <w:rFonts w:cstheme="minorHAnsi"/>
          <w:b/>
        </w:rPr>
        <w:t xml:space="preserve">POKAZATELJI USPJEŠNOSTI </w:t>
      </w:r>
      <w:r w:rsidRPr="00F74979">
        <w:rPr>
          <w:rFonts w:cstheme="minorHAnsi"/>
          <w:b/>
          <w:u w:val="single"/>
        </w:rPr>
        <w:t>PROGRAMA</w:t>
      </w:r>
      <w:r w:rsidRPr="00F74979">
        <w:rPr>
          <w:rFonts w:cstheme="minorHAnsi"/>
          <w:b/>
        </w:rPr>
        <w:t xml:space="preserve">: 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0A299D" w:rsidRPr="00F74979" w14:paraId="3AD74408" w14:textId="77777777" w:rsidTr="004E1461">
        <w:trPr>
          <w:trHeight w:val="366"/>
        </w:trPr>
        <w:tc>
          <w:tcPr>
            <w:tcW w:w="1448" w:type="dxa"/>
            <w:vAlign w:val="center"/>
          </w:tcPr>
          <w:p w14:paraId="7D031646" w14:textId="77777777" w:rsidR="000A299D" w:rsidRPr="00F74979" w:rsidRDefault="000A299D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7A7A733D" w14:textId="77777777" w:rsidR="000A299D" w:rsidRPr="00F74979" w:rsidRDefault="000A299D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46A3D615" w14:textId="77777777" w:rsidR="000A299D" w:rsidRPr="00F74979" w:rsidRDefault="000A299D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1658C543" w14:textId="77777777" w:rsidR="000A299D" w:rsidRPr="00F74979" w:rsidRDefault="000A299D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69468D0" w14:textId="77777777" w:rsidR="000A299D" w:rsidRPr="00F74979" w:rsidRDefault="000A299D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ECB8" w14:textId="77777777" w:rsidR="000A299D" w:rsidRPr="00F74979" w:rsidRDefault="000A299D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Izvršenje 01.01.-30.06.2023.</w:t>
            </w:r>
          </w:p>
        </w:tc>
      </w:tr>
      <w:tr w:rsidR="00127B44" w:rsidRPr="00F74979" w14:paraId="043FC070" w14:textId="77777777" w:rsidTr="004E1461">
        <w:trPr>
          <w:trHeight w:val="119"/>
        </w:trPr>
        <w:tc>
          <w:tcPr>
            <w:tcW w:w="1448" w:type="dxa"/>
          </w:tcPr>
          <w:p w14:paraId="6F59C40A" w14:textId="77777777" w:rsidR="00127B44" w:rsidRPr="00F74979" w:rsidRDefault="00127B44" w:rsidP="0099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broj učenika upisan u smjer tesara - deficitarna zanimanja</w:t>
            </w:r>
          </w:p>
        </w:tc>
        <w:tc>
          <w:tcPr>
            <w:tcW w:w="2877" w:type="dxa"/>
          </w:tcPr>
          <w:p w14:paraId="61C2AB5E" w14:textId="77777777" w:rsidR="00127B44" w:rsidRPr="00F74979" w:rsidRDefault="00127B44" w:rsidP="0099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Poticanje obrazovanja učenika u deficitarnim zanimanjima doprinosi poboljšanju strukture radnog stanovništva u skladu s potrebama tržišta rada</w:t>
            </w:r>
          </w:p>
        </w:tc>
        <w:tc>
          <w:tcPr>
            <w:tcW w:w="1276" w:type="dxa"/>
          </w:tcPr>
          <w:p w14:paraId="0435192F" w14:textId="77777777" w:rsidR="00127B44" w:rsidRPr="00F74979" w:rsidRDefault="00127B44" w:rsidP="00993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Broj učenika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413BFFF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4B95BA7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A1E" w14:textId="77777777" w:rsidR="00127B44" w:rsidRPr="00F74979" w:rsidRDefault="00416938" w:rsidP="00416938">
            <w:pPr>
              <w:jc w:val="center"/>
              <w:rPr>
                <w:rFonts w:cstheme="minorHAnsi"/>
              </w:rPr>
            </w:pPr>
            <w:r w:rsidRPr="00F74979">
              <w:rPr>
                <w:rFonts w:cstheme="minorHAnsi"/>
              </w:rPr>
              <w:t>TRENUTNO NIJE MJERLJIV REZULTAT</w:t>
            </w:r>
          </w:p>
        </w:tc>
      </w:tr>
      <w:tr w:rsidR="00127B44" w:rsidRPr="00F74979" w14:paraId="383891F5" w14:textId="77777777" w:rsidTr="004E1461">
        <w:trPr>
          <w:trHeight w:val="119"/>
        </w:trPr>
        <w:tc>
          <w:tcPr>
            <w:tcW w:w="1448" w:type="dxa"/>
          </w:tcPr>
          <w:p w14:paraId="1CC62C81" w14:textId="77777777" w:rsidR="00127B44" w:rsidRPr="00F74979" w:rsidRDefault="00127B44" w:rsidP="0099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 xml:space="preserve">Broj učenika koji sudjeluju u Erasmus + mobilnostima </w:t>
            </w:r>
          </w:p>
        </w:tc>
        <w:tc>
          <w:tcPr>
            <w:tcW w:w="2877" w:type="dxa"/>
          </w:tcPr>
          <w:p w14:paraId="79A623F5" w14:textId="77777777" w:rsidR="00127B44" w:rsidRPr="00F74979" w:rsidRDefault="00127B44" w:rsidP="0099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Poticanje interesa za sudjelovanje u mobilnostima u inozemstvu pruža mogućnost učenicima za stjecanje novih stručnih vještina i znanja, ali i razvoja društvenih i komunikacijskih vještina</w:t>
            </w:r>
          </w:p>
        </w:tc>
        <w:tc>
          <w:tcPr>
            <w:tcW w:w="1276" w:type="dxa"/>
          </w:tcPr>
          <w:p w14:paraId="75BE58B3" w14:textId="77777777" w:rsidR="00127B44" w:rsidRPr="00F74979" w:rsidRDefault="00127B44" w:rsidP="00993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Broj učenika koji sudjeluju u mobilnostima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25DBE0B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1507EF2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C051" w14:textId="77777777" w:rsidR="00127B44" w:rsidRPr="00F74979" w:rsidRDefault="00B632B7" w:rsidP="004E1461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14</w:t>
            </w:r>
          </w:p>
        </w:tc>
      </w:tr>
      <w:tr w:rsidR="00127B44" w:rsidRPr="00F74979" w14:paraId="3EE757A1" w14:textId="77777777" w:rsidTr="004E1461">
        <w:trPr>
          <w:trHeight w:val="119"/>
        </w:trPr>
        <w:tc>
          <w:tcPr>
            <w:tcW w:w="1448" w:type="dxa"/>
          </w:tcPr>
          <w:p w14:paraId="6D4441A0" w14:textId="77777777" w:rsidR="00127B44" w:rsidRPr="00F74979" w:rsidRDefault="00127B44" w:rsidP="0099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 xml:space="preserve">Broj učenika /ekipa koji sudjeluju na državnim natjecanjima </w:t>
            </w:r>
          </w:p>
        </w:tc>
        <w:tc>
          <w:tcPr>
            <w:tcW w:w="2877" w:type="dxa"/>
          </w:tcPr>
          <w:p w14:paraId="6E968292" w14:textId="77777777" w:rsidR="00127B44" w:rsidRPr="00F74979" w:rsidRDefault="00127B44" w:rsidP="0099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Poticanje natjecateljskog duha djeluje poticajno na radne rezultate učenika ali i omogućava promociju škole i uspjeha njezinih učenika i mentora</w:t>
            </w:r>
          </w:p>
        </w:tc>
        <w:tc>
          <w:tcPr>
            <w:tcW w:w="1276" w:type="dxa"/>
          </w:tcPr>
          <w:p w14:paraId="1F1C072A" w14:textId="77777777" w:rsidR="00127B44" w:rsidRPr="00F74979" w:rsidRDefault="00127B44" w:rsidP="00993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 xml:space="preserve">Broj učenika/ekipa koji sudjeluju na državnim natjecanjima 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14B8DEF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A90BBBB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A75C" w14:textId="77777777" w:rsidR="00127B44" w:rsidRPr="00F74979" w:rsidRDefault="00B632B7" w:rsidP="004E1461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29</w:t>
            </w:r>
          </w:p>
        </w:tc>
      </w:tr>
      <w:tr w:rsidR="00127B44" w:rsidRPr="00F74979" w14:paraId="673A9529" w14:textId="77777777" w:rsidTr="004E1461">
        <w:trPr>
          <w:trHeight w:val="119"/>
        </w:trPr>
        <w:tc>
          <w:tcPr>
            <w:tcW w:w="1448" w:type="dxa"/>
          </w:tcPr>
          <w:p w14:paraId="4C1981D8" w14:textId="77777777" w:rsidR="00127B44" w:rsidRPr="00F74979" w:rsidRDefault="00127B44" w:rsidP="0099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Broj primljenih donacija</w:t>
            </w:r>
          </w:p>
        </w:tc>
        <w:tc>
          <w:tcPr>
            <w:tcW w:w="2877" w:type="dxa"/>
          </w:tcPr>
          <w:p w14:paraId="09972AD1" w14:textId="77777777" w:rsidR="00127B44" w:rsidRPr="00F74979" w:rsidRDefault="00127B44" w:rsidP="0099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Primljene donacije fizičkih i pravnih osoba omogućuju poboljšanje materijalno—tehničkih uvjeta u školi, isplatu nagrade učenicima s izvrsnim rezultatima na državnim natjecanjima i sl</w:t>
            </w:r>
          </w:p>
        </w:tc>
        <w:tc>
          <w:tcPr>
            <w:tcW w:w="1276" w:type="dxa"/>
          </w:tcPr>
          <w:p w14:paraId="07524442" w14:textId="77777777" w:rsidR="00127B44" w:rsidRPr="00F74979" w:rsidRDefault="00127B44" w:rsidP="009932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Broj primljenih donacija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A115185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5714857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02B" w14:textId="77777777" w:rsidR="00127B44" w:rsidRPr="00F74979" w:rsidRDefault="00B632B7" w:rsidP="004E1461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3</w:t>
            </w:r>
          </w:p>
        </w:tc>
      </w:tr>
      <w:tr w:rsidR="00127B44" w:rsidRPr="00F74979" w14:paraId="45E3BA1E" w14:textId="77777777" w:rsidTr="009932AE">
        <w:trPr>
          <w:trHeight w:val="119"/>
        </w:trPr>
        <w:tc>
          <w:tcPr>
            <w:tcW w:w="1448" w:type="dxa"/>
          </w:tcPr>
          <w:p w14:paraId="4D79232E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 odlazaka na terensku nastavu</w:t>
            </w:r>
          </w:p>
        </w:tc>
        <w:tc>
          <w:tcPr>
            <w:tcW w:w="2877" w:type="dxa"/>
            <w:vAlign w:val="bottom"/>
          </w:tcPr>
          <w:p w14:paraId="3B477B05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Odlasci na terensku nastavu omogućavaju učenicima učenje iz praktičnih primjera i približavaju problematiku određenih tema gradnja ceste, mosta, fasada, rad u kamenolomu, rad u mesnici i sl)</w:t>
            </w:r>
          </w:p>
        </w:tc>
        <w:tc>
          <w:tcPr>
            <w:tcW w:w="1276" w:type="dxa"/>
          </w:tcPr>
          <w:p w14:paraId="40474A74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Broj održanih terenskih nastava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0A00239A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 17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42628E28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 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6BBF" w14:textId="77777777" w:rsidR="00A04AFC" w:rsidRPr="00F74979" w:rsidRDefault="00A04AFC" w:rsidP="004E1461">
            <w:pPr>
              <w:jc w:val="right"/>
              <w:rPr>
                <w:rFonts w:cstheme="minorHAnsi"/>
              </w:rPr>
            </w:pPr>
          </w:p>
          <w:p w14:paraId="10D668B7" w14:textId="77777777" w:rsidR="00A04AFC" w:rsidRPr="00F74979" w:rsidRDefault="00A04AFC" w:rsidP="004E1461">
            <w:pPr>
              <w:jc w:val="right"/>
              <w:rPr>
                <w:rFonts w:cstheme="minorHAnsi"/>
              </w:rPr>
            </w:pPr>
          </w:p>
          <w:p w14:paraId="0C7BDE4B" w14:textId="77777777" w:rsidR="00A04AFC" w:rsidRPr="00F74979" w:rsidRDefault="00A04AFC" w:rsidP="004E1461">
            <w:pPr>
              <w:jc w:val="right"/>
              <w:rPr>
                <w:rFonts w:cstheme="minorHAnsi"/>
              </w:rPr>
            </w:pPr>
          </w:p>
          <w:p w14:paraId="070BA45D" w14:textId="77777777" w:rsidR="00A04AFC" w:rsidRPr="00F74979" w:rsidRDefault="00A04AFC" w:rsidP="004E1461">
            <w:pPr>
              <w:jc w:val="right"/>
              <w:rPr>
                <w:rFonts w:cstheme="minorHAnsi"/>
              </w:rPr>
            </w:pPr>
          </w:p>
          <w:p w14:paraId="64AD3157" w14:textId="77777777" w:rsidR="00A04AFC" w:rsidRPr="00F74979" w:rsidRDefault="00A04AFC" w:rsidP="004E1461">
            <w:pPr>
              <w:jc w:val="right"/>
              <w:rPr>
                <w:rFonts w:cstheme="minorHAnsi"/>
              </w:rPr>
            </w:pPr>
          </w:p>
          <w:p w14:paraId="634AC13A" w14:textId="77777777" w:rsidR="00127B44" w:rsidRPr="00F74979" w:rsidRDefault="00B632B7" w:rsidP="004E1461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5</w:t>
            </w:r>
          </w:p>
        </w:tc>
      </w:tr>
      <w:tr w:rsidR="00127B44" w:rsidRPr="00F74979" w14:paraId="0C9B885B" w14:textId="77777777" w:rsidTr="009932AE">
        <w:trPr>
          <w:trHeight w:val="119"/>
        </w:trPr>
        <w:tc>
          <w:tcPr>
            <w:tcW w:w="1448" w:type="dxa"/>
          </w:tcPr>
          <w:p w14:paraId="4C67E7E4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Utrošena sredstva od kamata na depozite po viđenju</w:t>
            </w:r>
          </w:p>
        </w:tc>
        <w:tc>
          <w:tcPr>
            <w:tcW w:w="2877" w:type="dxa"/>
            <w:vAlign w:val="bottom"/>
          </w:tcPr>
          <w:p w14:paraId="4937EB3F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Ovisno o sredstvima na računu škola tromjesečno prima kamate na depozite po viđenju</w:t>
            </w:r>
          </w:p>
        </w:tc>
        <w:tc>
          <w:tcPr>
            <w:tcW w:w="1276" w:type="dxa"/>
          </w:tcPr>
          <w:p w14:paraId="0148AC6D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Utrošeno/neutrošeno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5C0B9196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42DD05FA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EFF" w14:textId="77777777" w:rsidR="00A04AFC" w:rsidRPr="00F74979" w:rsidRDefault="00A04AFC" w:rsidP="004E1461">
            <w:pPr>
              <w:jc w:val="right"/>
              <w:rPr>
                <w:rFonts w:cstheme="minorHAnsi"/>
              </w:rPr>
            </w:pPr>
          </w:p>
          <w:p w14:paraId="5D86CB0B" w14:textId="77777777" w:rsidR="00A04AFC" w:rsidRPr="00F74979" w:rsidRDefault="00A04AFC" w:rsidP="004E1461">
            <w:pPr>
              <w:jc w:val="right"/>
              <w:rPr>
                <w:rFonts w:cstheme="minorHAnsi"/>
              </w:rPr>
            </w:pPr>
          </w:p>
          <w:p w14:paraId="1728601B" w14:textId="77777777" w:rsidR="00A04AFC" w:rsidRPr="00F74979" w:rsidRDefault="00A04AFC" w:rsidP="004E1461">
            <w:pPr>
              <w:jc w:val="right"/>
              <w:rPr>
                <w:rFonts w:cstheme="minorHAnsi"/>
              </w:rPr>
            </w:pPr>
          </w:p>
          <w:p w14:paraId="02FBAFFF" w14:textId="77777777" w:rsidR="00127B44" w:rsidRPr="00F74979" w:rsidRDefault="0059015E" w:rsidP="004E1461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ne</w:t>
            </w:r>
          </w:p>
        </w:tc>
      </w:tr>
      <w:tr w:rsidR="00127B44" w:rsidRPr="00F74979" w14:paraId="75AB6511" w14:textId="77777777" w:rsidTr="009932AE">
        <w:trPr>
          <w:trHeight w:val="119"/>
        </w:trPr>
        <w:tc>
          <w:tcPr>
            <w:tcW w:w="1448" w:type="dxa"/>
          </w:tcPr>
          <w:p w14:paraId="45CABFCF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Utrošena sredstva od nefinancijske imovine</w:t>
            </w:r>
          </w:p>
        </w:tc>
        <w:tc>
          <w:tcPr>
            <w:tcW w:w="2877" w:type="dxa"/>
            <w:vAlign w:val="bottom"/>
          </w:tcPr>
          <w:p w14:paraId="0E2D543D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nabavom nefinancijske imovine za te iznose omogućava se poboljšanje materijalnih uvjeta u školi</w:t>
            </w:r>
          </w:p>
        </w:tc>
        <w:tc>
          <w:tcPr>
            <w:tcW w:w="1276" w:type="dxa"/>
          </w:tcPr>
          <w:p w14:paraId="7C056FDD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Utrošeno/neutrošeno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77A16AF7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06918556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49C" w14:textId="77777777" w:rsidR="00127B44" w:rsidRPr="00F74979" w:rsidRDefault="00127B44" w:rsidP="004E1461">
            <w:pPr>
              <w:jc w:val="right"/>
              <w:rPr>
                <w:rFonts w:cstheme="minorHAnsi"/>
                <w:b/>
              </w:rPr>
            </w:pPr>
          </w:p>
          <w:p w14:paraId="1418B946" w14:textId="77777777" w:rsidR="00A04AFC" w:rsidRPr="00F74979" w:rsidRDefault="00A04AFC" w:rsidP="004E1461">
            <w:pPr>
              <w:jc w:val="right"/>
              <w:rPr>
                <w:rFonts w:cstheme="minorHAnsi"/>
                <w:b/>
              </w:rPr>
            </w:pPr>
          </w:p>
          <w:p w14:paraId="1388798A" w14:textId="77777777" w:rsidR="00A04AFC" w:rsidRPr="00F74979" w:rsidRDefault="00A04AFC" w:rsidP="004E1461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ne</w:t>
            </w:r>
          </w:p>
        </w:tc>
      </w:tr>
      <w:tr w:rsidR="00127B44" w:rsidRPr="00F74979" w14:paraId="31A6106D" w14:textId="77777777" w:rsidTr="009932AE">
        <w:trPr>
          <w:trHeight w:val="119"/>
        </w:trPr>
        <w:tc>
          <w:tcPr>
            <w:tcW w:w="1448" w:type="dxa"/>
          </w:tcPr>
          <w:p w14:paraId="4B513762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Pridržavanje limita za refundaciju troškova organizacije domaćinstva</w:t>
            </w:r>
          </w:p>
        </w:tc>
        <w:tc>
          <w:tcPr>
            <w:tcW w:w="2877" w:type="dxa"/>
            <w:vAlign w:val="bottom"/>
          </w:tcPr>
          <w:p w14:paraId="05C68E56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Osnivač postavlja limite za refundaciju troškova prema broju sudionika, nastavnika i stručnog povjerenstva</w:t>
            </w:r>
          </w:p>
        </w:tc>
        <w:tc>
          <w:tcPr>
            <w:tcW w:w="1276" w:type="dxa"/>
          </w:tcPr>
          <w:p w14:paraId="2D4F23A7" w14:textId="77777777" w:rsidR="00127B44" w:rsidRPr="00F74979" w:rsidRDefault="00127B44" w:rsidP="009932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74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 skladu s limitima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5017902A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bottom"/>
          </w:tcPr>
          <w:p w14:paraId="33027493" w14:textId="77777777" w:rsidR="00127B44" w:rsidRPr="00F74979" w:rsidRDefault="00127B44" w:rsidP="00127B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 da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F2AA" w14:textId="77777777" w:rsidR="00127B44" w:rsidRPr="00F74979" w:rsidRDefault="00127B44" w:rsidP="004E1461">
            <w:pPr>
              <w:jc w:val="right"/>
              <w:rPr>
                <w:rFonts w:cstheme="minorHAnsi"/>
                <w:b/>
              </w:rPr>
            </w:pPr>
          </w:p>
          <w:p w14:paraId="09F00D46" w14:textId="77777777" w:rsidR="00A04AFC" w:rsidRPr="00F74979" w:rsidRDefault="00A04AFC" w:rsidP="004E1461">
            <w:pPr>
              <w:jc w:val="right"/>
              <w:rPr>
                <w:rFonts w:cstheme="minorHAnsi"/>
                <w:b/>
              </w:rPr>
            </w:pPr>
          </w:p>
          <w:p w14:paraId="5939DBAB" w14:textId="77777777" w:rsidR="00A04AFC" w:rsidRPr="00F74979" w:rsidRDefault="00A04AFC" w:rsidP="004E1461">
            <w:pPr>
              <w:jc w:val="right"/>
              <w:rPr>
                <w:rFonts w:cstheme="minorHAnsi"/>
                <w:b/>
              </w:rPr>
            </w:pPr>
          </w:p>
          <w:p w14:paraId="1BAD21E8" w14:textId="77777777" w:rsidR="00A04AFC" w:rsidRPr="00F74979" w:rsidRDefault="00A04AFC" w:rsidP="004E1461">
            <w:pPr>
              <w:jc w:val="right"/>
              <w:rPr>
                <w:rFonts w:cstheme="minorHAnsi"/>
                <w:b/>
              </w:rPr>
            </w:pPr>
          </w:p>
          <w:p w14:paraId="5BFA6FF6" w14:textId="77777777" w:rsidR="00A04AFC" w:rsidRPr="00F74979" w:rsidRDefault="00A04AFC" w:rsidP="004E1461">
            <w:pPr>
              <w:jc w:val="right"/>
              <w:rPr>
                <w:rFonts w:cstheme="minorHAnsi"/>
              </w:rPr>
            </w:pPr>
            <w:r w:rsidRPr="00F74979">
              <w:rPr>
                <w:rFonts w:cstheme="minorHAnsi"/>
              </w:rPr>
              <w:t>da</w:t>
            </w:r>
          </w:p>
        </w:tc>
      </w:tr>
    </w:tbl>
    <w:p w14:paraId="4AD0FA31" w14:textId="77777777" w:rsidR="000A299D" w:rsidRPr="00F74979" w:rsidRDefault="000A299D" w:rsidP="00F5575E">
      <w:pPr>
        <w:spacing w:after="0" w:line="240" w:lineRule="auto"/>
        <w:rPr>
          <w:rFonts w:cstheme="minorHAnsi"/>
          <w:b/>
        </w:rPr>
      </w:pPr>
    </w:p>
    <w:p w14:paraId="4E1B0669" w14:textId="77777777" w:rsidR="0067394C" w:rsidRPr="00F74979" w:rsidRDefault="0067394C" w:rsidP="00F5575E">
      <w:pPr>
        <w:spacing w:after="0" w:line="240" w:lineRule="auto"/>
        <w:rPr>
          <w:rFonts w:cstheme="minorHAnsi"/>
          <w:b/>
        </w:rPr>
      </w:pPr>
    </w:p>
    <w:p w14:paraId="7DD1D776" w14:textId="77777777" w:rsidR="004E1461" w:rsidRPr="00F74979" w:rsidRDefault="004E1461" w:rsidP="004E146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4979">
        <w:rPr>
          <w:rFonts w:ascii="Times New Roman" w:hAnsi="Times New Roman" w:cs="Times New Roman"/>
          <w:b/>
          <w:sz w:val="20"/>
          <w:szCs w:val="20"/>
          <w:highlight w:val="yellow"/>
        </w:rPr>
        <w:lastRenderedPageBreak/>
        <w:t>ŠIFRA I NAZIV PROGRAMA:</w:t>
      </w:r>
      <w:r w:rsidRPr="00F74979">
        <w:rPr>
          <w:rFonts w:ascii="Times New Roman" w:hAnsi="Times New Roman" w:cs="Times New Roman"/>
          <w:b/>
          <w:sz w:val="20"/>
          <w:szCs w:val="20"/>
          <w:highlight w:val="yellow"/>
        </w:rPr>
        <w:tab/>
      </w:r>
      <w:r w:rsidRPr="00F74979">
        <w:rPr>
          <w:rFonts w:ascii="Times New Roman" w:hAnsi="Times New Roman" w:cs="Times New Roman"/>
          <w:b/>
          <w:sz w:val="20"/>
          <w:szCs w:val="20"/>
        </w:rPr>
        <w:t>157 JAVNE POTREBE IZNAD ZAKONSKOG STANDARDA U ŠKOLSTVU – OSTALI KORISNICI</w:t>
      </w:r>
    </w:p>
    <w:p w14:paraId="7643CA97" w14:textId="77777777" w:rsidR="00A22D76" w:rsidRPr="00F74979" w:rsidRDefault="00A22D76" w:rsidP="004E1461">
      <w:pPr>
        <w:spacing w:after="0" w:line="240" w:lineRule="auto"/>
        <w:rPr>
          <w:rFonts w:cstheme="minorHAnsi"/>
          <w:b/>
        </w:rPr>
      </w:pPr>
    </w:p>
    <w:p w14:paraId="21C00575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/>
        </w:rPr>
      </w:pPr>
      <w:r w:rsidRPr="00F74979">
        <w:rPr>
          <w:rFonts w:cstheme="minorHAnsi"/>
          <w:b/>
        </w:rPr>
        <w:t xml:space="preserve">SVRHA PROGRAMA: </w:t>
      </w:r>
    </w:p>
    <w:p w14:paraId="5E9E240E" w14:textId="77777777" w:rsidR="00A22D76" w:rsidRPr="00F74979" w:rsidRDefault="00A22D76" w:rsidP="0067394C">
      <w:pPr>
        <w:spacing w:after="0" w:line="240" w:lineRule="auto"/>
        <w:jc w:val="both"/>
        <w:rPr>
          <w:rFonts w:cstheme="minorHAnsi"/>
          <w:iCs/>
        </w:rPr>
      </w:pPr>
      <w:r w:rsidRPr="00F74979">
        <w:rPr>
          <w:rFonts w:cstheme="minorHAnsi"/>
          <w:iCs/>
        </w:rPr>
        <w:t>Predstavljanjem deficitarnih zanimanja (soboslikar-ličilac, monter suhe gradnje, pekar, mesar…) potaknuti učenike osnovnih škola da nastave svoje obrazovanje u obrtničkim zanimanjima.</w:t>
      </w:r>
    </w:p>
    <w:p w14:paraId="73DA2305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/>
        </w:rPr>
      </w:pPr>
    </w:p>
    <w:p w14:paraId="127E7347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/>
        </w:rPr>
      </w:pPr>
    </w:p>
    <w:p w14:paraId="18191308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Cs/>
          <w:iCs/>
        </w:rPr>
      </w:pPr>
      <w:r w:rsidRPr="00F74979">
        <w:rPr>
          <w:rFonts w:cstheme="minorHAnsi"/>
          <w:b/>
        </w:rPr>
        <w:t xml:space="preserve">POVEZANOST PROGRAMA SA STRATEŠKIM DOKUMENTIMA: </w:t>
      </w:r>
    </w:p>
    <w:p w14:paraId="14FBE224" w14:textId="77777777" w:rsidR="00A22D76" w:rsidRPr="00F74979" w:rsidRDefault="00A22D76" w:rsidP="0067394C">
      <w:pPr>
        <w:spacing w:after="0" w:line="240" w:lineRule="auto"/>
        <w:jc w:val="both"/>
        <w:rPr>
          <w:rFonts w:cstheme="minorHAnsi"/>
          <w:iCs/>
        </w:rPr>
      </w:pPr>
      <w:r w:rsidRPr="00F74979">
        <w:rPr>
          <w:rFonts w:cstheme="minorHAnsi"/>
          <w:iCs/>
        </w:rPr>
        <w:t>Obzirom da se u Školi provodi dosta programa obrazovanja za deficitarna zanimanja veoma je važna prezentacija i pokušaj populariziranja obrazovanja u  navedenim zanimanjima radi održavanja postojećeg broja učenika ili povećanje istog. Također, važno je da srednjoškolsko obrazovanje bude u skladu s mišljenima i smjernicama Hrvatskog zavoda za zapošljavanje vezanog uz strukturu nezaposlenih i potreba tržišta rada.</w:t>
      </w:r>
    </w:p>
    <w:p w14:paraId="1E1F3674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/>
        </w:rPr>
      </w:pPr>
    </w:p>
    <w:p w14:paraId="2E78BC89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  <w:b/>
        </w:rPr>
        <w:t xml:space="preserve">ZAKONSKE I DRUGE PODLOGE NA KOJIMA SE PROGRAM ZASNIVA: </w:t>
      </w:r>
    </w:p>
    <w:p w14:paraId="68E596AE" w14:textId="77777777" w:rsidR="00A22D76" w:rsidRPr="00F74979" w:rsidRDefault="00A22D76" w:rsidP="0067394C">
      <w:pPr>
        <w:spacing w:after="0" w:line="240" w:lineRule="auto"/>
        <w:jc w:val="both"/>
        <w:rPr>
          <w:rFonts w:cstheme="minorHAnsi"/>
          <w:iCs/>
        </w:rPr>
      </w:pPr>
      <w:r w:rsidRPr="00F74979">
        <w:rPr>
          <w:rFonts w:cstheme="minorHAnsi"/>
          <w:iCs/>
        </w:rPr>
        <w:t>Ugovor o financiranju u okviru programa KARADAR – deficitarna zanimanja nastavna godina 2022/2023.</w:t>
      </w:r>
    </w:p>
    <w:p w14:paraId="4AD272EB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</w:rPr>
      </w:pPr>
    </w:p>
    <w:p w14:paraId="068F75D2" w14:textId="77777777" w:rsidR="00127B44" w:rsidRPr="00F74979" w:rsidRDefault="004E1461" w:rsidP="0067394C">
      <w:pPr>
        <w:spacing w:after="0" w:line="240" w:lineRule="auto"/>
        <w:jc w:val="both"/>
        <w:rPr>
          <w:rFonts w:cstheme="minorHAnsi"/>
          <w:b/>
          <w:bCs/>
        </w:rPr>
      </w:pPr>
      <w:r w:rsidRPr="00F74979">
        <w:rPr>
          <w:rFonts w:cstheme="minorHAnsi"/>
          <w:b/>
          <w:bCs/>
        </w:rPr>
        <w:t xml:space="preserve">IZVRŠENJE </w:t>
      </w:r>
      <w:r w:rsidRPr="00F74979">
        <w:rPr>
          <w:rFonts w:cstheme="minorHAnsi"/>
          <w:b/>
          <w:bCs/>
          <w:u w:val="single"/>
        </w:rPr>
        <w:t>PROGRAMA</w:t>
      </w:r>
      <w:r w:rsidRPr="00F74979">
        <w:rPr>
          <w:rFonts w:cstheme="minorHAnsi"/>
          <w:b/>
          <w:bCs/>
        </w:rPr>
        <w:t xml:space="preserve"> S OSVRTOM NA CILJEVE KOJI SU OSTVARENI NJEGOVOM PROVEDBOM</w:t>
      </w:r>
      <w:r w:rsidR="00A22D76" w:rsidRPr="00F74979">
        <w:rPr>
          <w:rFonts w:cstheme="minorHAnsi"/>
          <w:b/>
          <w:bCs/>
        </w:rPr>
        <w:t xml:space="preserve">: </w:t>
      </w:r>
    </w:p>
    <w:p w14:paraId="48A7A19A" w14:textId="77777777" w:rsidR="002F7EC3" w:rsidRPr="00F74979" w:rsidRDefault="00127B44" w:rsidP="0067394C">
      <w:pPr>
        <w:spacing w:after="0" w:line="240" w:lineRule="auto"/>
        <w:jc w:val="both"/>
        <w:rPr>
          <w:rFonts w:cstheme="minorHAnsi"/>
          <w:iCs/>
        </w:rPr>
      </w:pPr>
      <w:r w:rsidRPr="00F74979">
        <w:rPr>
          <w:rFonts w:cstheme="minorHAnsi"/>
          <w:iCs/>
        </w:rPr>
        <w:t>Obzirom, da se program počeo provoditi u jesen 2022. godine, tek će se kod upisa u školsku godinu 2023./2024. vidjeti rezultati provođenja radionica u sklopu promocije deficitarnih zanimanja.</w:t>
      </w:r>
      <w:r w:rsidR="002F7EC3" w:rsidRPr="00F74979">
        <w:rPr>
          <w:rFonts w:cstheme="minorHAnsi"/>
          <w:iCs/>
        </w:rPr>
        <w:t xml:space="preserve"> U trenutku izrade polugodišnjeg izvršenja financijskog plana nije moguće iskazati rezultate, odnosno pokazatelje uspješnosti ovog programa i aktivnosti A100208 KARADAR.</w:t>
      </w:r>
    </w:p>
    <w:p w14:paraId="61EF6025" w14:textId="77777777" w:rsidR="00127B44" w:rsidRPr="00F74979" w:rsidRDefault="00127B44" w:rsidP="0067394C">
      <w:pPr>
        <w:spacing w:after="0" w:line="240" w:lineRule="auto"/>
        <w:jc w:val="both"/>
        <w:rPr>
          <w:rFonts w:cstheme="minorHAnsi"/>
          <w:iCs/>
        </w:rPr>
      </w:pPr>
    </w:p>
    <w:p w14:paraId="3748450E" w14:textId="77777777" w:rsidR="00127B44" w:rsidRPr="00F74979" w:rsidRDefault="00127B44" w:rsidP="0067394C">
      <w:pPr>
        <w:spacing w:after="0" w:line="240" w:lineRule="auto"/>
        <w:jc w:val="both"/>
        <w:rPr>
          <w:rFonts w:cstheme="minorHAnsi"/>
          <w:iCs/>
        </w:rPr>
      </w:pPr>
      <w:r w:rsidRPr="00F74979">
        <w:rPr>
          <w:rFonts w:cstheme="minorHAnsi"/>
          <w:iCs/>
        </w:rPr>
        <w:t xml:space="preserve">MIOŠ se vrlo aktivno uključio u županijski projekt KARADAR kojim se želi promovirati upis u deficitarna zanimanja u Karlovačkoj županiji. </w:t>
      </w:r>
    </w:p>
    <w:p w14:paraId="6A8E0D37" w14:textId="77777777" w:rsidR="00127B44" w:rsidRPr="00F74979" w:rsidRDefault="00127B44" w:rsidP="0067394C">
      <w:pPr>
        <w:spacing w:after="0" w:line="240" w:lineRule="auto"/>
        <w:rPr>
          <w:rFonts w:cstheme="minorHAnsi"/>
          <w:iCs/>
        </w:rPr>
      </w:pPr>
      <w:r w:rsidRPr="00F74979">
        <w:rPr>
          <w:rFonts w:cstheme="minorHAnsi"/>
          <w:iCs/>
        </w:rPr>
        <w:t>U MIOŠ-u su organizirane 3 radionice:</w:t>
      </w:r>
      <w:r w:rsidRPr="00F74979">
        <w:rPr>
          <w:rFonts w:cstheme="minorHAnsi"/>
          <w:iCs/>
        </w:rPr>
        <w:br/>
        <w:t>1. "Majstor Mato"  promovira soboslikare, autolakirere, montere suhe gradnje, keramičare</w:t>
      </w:r>
      <w:r w:rsidRPr="00F74979">
        <w:rPr>
          <w:rFonts w:cstheme="minorHAnsi"/>
          <w:iCs/>
        </w:rPr>
        <w:br/>
        <w:t>2. " Bob graditelj" promovira zidare, tesare, rukovatelje samohodnim građevinskim strojevima</w:t>
      </w:r>
      <w:r w:rsidRPr="00F74979">
        <w:rPr>
          <w:rFonts w:cstheme="minorHAnsi"/>
          <w:iCs/>
        </w:rPr>
        <w:br/>
        <w:t>3. "Slano i slatko" - promovira mesare i pekare.</w:t>
      </w:r>
    </w:p>
    <w:p w14:paraId="669DDCBB" w14:textId="77777777" w:rsidR="002F7EC3" w:rsidRPr="00F74979" w:rsidRDefault="002F7EC3" w:rsidP="0067394C">
      <w:pPr>
        <w:spacing w:after="0" w:line="240" w:lineRule="auto"/>
        <w:jc w:val="both"/>
        <w:rPr>
          <w:rFonts w:cstheme="minorHAnsi"/>
          <w:iCs/>
        </w:rPr>
      </w:pPr>
    </w:p>
    <w:p w14:paraId="5129E566" w14:textId="77777777" w:rsidR="00127B44" w:rsidRPr="00F74979" w:rsidRDefault="00127B44" w:rsidP="0067394C">
      <w:pPr>
        <w:spacing w:after="0" w:line="240" w:lineRule="auto"/>
        <w:jc w:val="both"/>
        <w:rPr>
          <w:rFonts w:cstheme="minorHAnsi"/>
          <w:iCs/>
        </w:rPr>
      </w:pPr>
      <w:r w:rsidRPr="00F74979">
        <w:rPr>
          <w:rFonts w:cstheme="minorHAnsi"/>
          <w:iCs/>
        </w:rPr>
        <w:t xml:space="preserve">Od početka provedbe projekta organizirano je </w:t>
      </w:r>
      <w:r w:rsidR="00A22D76" w:rsidRPr="00F74979">
        <w:rPr>
          <w:rFonts w:cstheme="minorHAnsi"/>
          <w:iCs/>
        </w:rPr>
        <w:t xml:space="preserve">27 radionica, sudjelovalo preko 100 učenika iz </w:t>
      </w:r>
      <w:r w:rsidRPr="00F74979">
        <w:rPr>
          <w:rFonts w:cstheme="minorHAnsi"/>
          <w:iCs/>
        </w:rPr>
        <w:t>osnovnih škola</w:t>
      </w:r>
      <w:r w:rsidR="00A22D76" w:rsidRPr="00F74979">
        <w:rPr>
          <w:rFonts w:cstheme="minorHAnsi"/>
          <w:iCs/>
        </w:rPr>
        <w:t xml:space="preserve"> na području Karlovačke županije</w:t>
      </w:r>
      <w:r w:rsidRPr="00F74979">
        <w:rPr>
          <w:rFonts w:cstheme="minorHAnsi"/>
          <w:iCs/>
        </w:rPr>
        <w:t>. Radionice su bile organizirane subotom od 9 do 13 h. Radionice su bile organizirane kroz vježbe u školskim praktikumima,  u okviru radionice Slano i slatko učenici su odlazili u posjet Mesnoj industriji PPK i u Pekaru Monika.</w:t>
      </w:r>
    </w:p>
    <w:p w14:paraId="4F52505F" w14:textId="77777777" w:rsidR="002F7EC3" w:rsidRPr="00F74979" w:rsidRDefault="002F7EC3" w:rsidP="0067394C">
      <w:pPr>
        <w:spacing w:after="0" w:line="240" w:lineRule="auto"/>
        <w:jc w:val="both"/>
        <w:rPr>
          <w:rFonts w:cstheme="minorHAnsi"/>
          <w:iCs/>
        </w:rPr>
      </w:pPr>
    </w:p>
    <w:p w14:paraId="23E22FF2" w14:textId="77777777" w:rsidR="004E1461" w:rsidRPr="00F74979" w:rsidRDefault="00127B44" w:rsidP="0067394C">
      <w:pPr>
        <w:spacing w:after="0" w:line="240" w:lineRule="auto"/>
        <w:jc w:val="both"/>
        <w:rPr>
          <w:rFonts w:cstheme="minorHAnsi"/>
          <w:iCs/>
        </w:rPr>
      </w:pPr>
      <w:r w:rsidRPr="00F74979">
        <w:rPr>
          <w:rFonts w:cstheme="minorHAnsi"/>
          <w:iCs/>
        </w:rPr>
        <w:t>Aktivnost se odnosi na provođenje radionica u sklopu projekta KARADAR i sredstva su namijenjena za nabavku potrebnom nastavnog materijala za održavanje radionica i naknadu predavačima.</w:t>
      </w:r>
      <w:r w:rsidR="002F7EC3" w:rsidRPr="00F74979">
        <w:rPr>
          <w:rFonts w:cstheme="minorHAnsi"/>
          <w:iCs/>
        </w:rPr>
        <w:t xml:space="preserve"> Program se izmjenama financijskog plana za 2023. godinu uvrštava u plan jer je program krenuo u nakon izrade prijedloga financijskog plana za 2023-2025. godine. </w:t>
      </w:r>
      <w:r w:rsidRPr="00F74979">
        <w:rPr>
          <w:rFonts w:cstheme="minorHAnsi"/>
          <w:iCs/>
        </w:rPr>
        <w:t xml:space="preserve"> Planirano je 12.000,00 EUR za nabavku materijala i naknade predavačima</w:t>
      </w:r>
      <w:r w:rsidR="002F7EC3" w:rsidRPr="00F74979">
        <w:rPr>
          <w:rFonts w:cstheme="minorHAnsi"/>
          <w:iCs/>
        </w:rPr>
        <w:t xml:space="preserve">. Do 30.6.2023. godine </w:t>
      </w:r>
      <w:r w:rsidR="00682D12" w:rsidRPr="00F74979">
        <w:rPr>
          <w:rFonts w:cstheme="minorHAnsi"/>
          <w:iCs/>
        </w:rPr>
        <w:t xml:space="preserve">je realizirano </w:t>
      </w:r>
      <w:r w:rsidR="002F7EC3" w:rsidRPr="00F74979">
        <w:rPr>
          <w:rFonts w:cstheme="minorHAnsi"/>
          <w:iCs/>
        </w:rPr>
        <w:t xml:space="preserve"> 2</w:t>
      </w:r>
      <w:r w:rsidR="00682D12" w:rsidRPr="00F74979">
        <w:rPr>
          <w:rFonts w:cstheme="minorHAnsi"/>
          <w:iCs/>
        </w:rPr>
        <w:t>.870,46 EUR rashoda za navedenu</w:t>
      </w:r>
      <w:r w:rsidR="002F7EC3" w:rsidRPr="00F74979">
        <w:rPr>
          <w:rFonts w:cstheme="minorHAnsi"/>
          <w:iCs/>
        </w:rPr>
        <w:t xml:space="preserve"> aktivnost. </w:t>
      </w:r>
      <w:r w:rsidR="00682D12" w:rsidRPr="00F74979">
        <w:rPr>
          <w:rFonts w:cstheme="minorHAnsi"/>
          <w:iCs/>
        </w:rPr>
        <w:t xml:space="preserve">U razdoblju od 1.1.2023. do 30.6.2023. je ostvareno 3.021,37 EUR prihoda, 2.870,46 EUR se odnosi na rashode po ovoj aktivnosti u 2023. godini, a 150,91 EUR se odnosi na nedospjele obveze 2022. godine plaćene u 2023. godini. </w:t>
      </w:r>
      <w:r w:rsidR="002F7EC3" w:rsidRPr="00F74979">
        <w:rPr>
          <w:rFonts w:cstheme="minorHAnsi"/>
          <w:iCs/>
        </w:rPr>
        <w:t>Nastavak provedbe radionica se očekuje u rujnu s početkom nove školske godine i promocijom deficitarnih zanimanja za upise u novu školsku godinu 2024./2025.</w:t>
      </w:r>
    </w:p>
    <w:p w14:paraId="37560BD0" w14:textId="77777777" w:rsidR="002F7EC3" w:rsidRPr="00F74979" w:rsidRDefault="002F7EC3" w:rsidP="004E1461">
      <w:pPr>
        <w:spacing w:after="0" w:line="240" w:lineRule="auto"/>
        <w:rPr>
          <w:rFonts w:cstheme="minorHAnsi"/>
          <w:b/>
          <w:bCs/>
        </w:rPr>
      </w:pPr>
    </w:p>
    <w:p w14:paraId="7B100D8A" w14:textId="77777777" w:rsidR="004E1461" w:rsidRPr="00F74979" w:rsidRDefault="004E1461" w:rsidP="004E1461">
      <w:pPr>
        <w:spacing w:after="0" w:line="240" w:lineRule="auto"/>
        <w:rPr>
          <w:rFonts w:cstheme="minorHAnsi"/>
          <w:b/>
          <w:bCs/>
        </w:rPr>
      </w:pPr>
      <w:r w:rsidRPr="00F74979">
        <w:rPr>
          <w:rFonts w:cstheme="minorHAnsi"/>
          <w:b/>
          <w:bCs/>
        </w:rPr>
        <w:t>IZVRŠENJE FINANCIJSKOG PLANA ZA SIJEČANJ-LIPANJ 2023.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12"/>
        <w:gridCol w:w="1986"/>
        <w:gridCol w:w="1288"/>
        <w:gridCol w:w="902"/>
        <w:gridCol w:w="1180"/>
        <w:gridCol w:w="1322"/>
        <w:gridCol w:w="949"/>
        <w:gridCol w:w="890"/>
      </w:tblGrid>
      <w:tr w:rsidR="004E1461" w:rsidRPr="00F74979" w14:paraId="5F06DD71" w14:textId="77777777" w:rsidTr="004E1461">
        <w:tc>
          <w:tcPr>
            <w:tcW w:w="1137" w:type="dxa"/>
          </w:tcPr>
          <w:p w14:paraId="31E46550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986" w:type="dxa"/>
          </w:tcPr>
          <w:p w14:paraId="220F8368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289" w:type="dxa"/>
          </w:tcPr>
          <w:p w14:paraId="48310259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996" w:type="dxa"/>
          </w:tcPr>
          <w:p w14:paraId="1B33FACF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 xml:space="preserve">PLAN </w:t>
            </w:r>
          </w:p>
          <w:p w14:paraId="34298EF2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180" w:type="dxa"/>
          </w:tcPr>
          <w:p w14:paraId="395DB926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 xml:space="preserve">I REBALANS </w:t>
            </w:r>
          </w:p>
          <w:p w14:paraId="5B94BB79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41" w:type="dxa"/>
          </w:tcPr>
          <w:p w14:paraId="73E8F489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980" w:type="dxa"/>
          </w:tcPr>
          <w:p w14:paraId="4AFA14F8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INDEKS %</w:t>
            </w:r>
          </w:p>
          <w:p w14:paraId="770348D4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890" w:type="dxa"/>
          </w:tcPr>
          <w:p w14:paraId="540DEBF1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INDEKS %</w:t>
            </w:r>
          </w:p>
          <w:p w14:paraId="3521715D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6/5</w:t>
            </w:r>
          </w:p>
        </w:tc>
      </w:tr>
      <w:tr w:rsidR="004E1461" w:rsidRPr="00F74979" w14:paraId="02E4B361" w14:textId="77777777" w:rsidTr="004E1461">
        <w:tc>
          <w:tcPr>
            <w:tcW w:w="1137" w:type="dxa"/>
          </w:tcPr>
          <w:p w14:paraId="256A1E08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986" w:type="dxa"/>
          </w:tcPr>
          <w:p w14:paraId="730ED48C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89" w:type="dxa"/>
          </w:tcPr>
          <w:p w14:paraId="1AFCEF2E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996" w:type="dxa"/>
          </w:tcPr>
          <w:p w14:paraId="747075F9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180" w:type="dxa"/>
          </w:tcPr>
          <w:p w14:paraId="196ACF7D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41" w:type="dxa"/>
          </w:tcPr>
          <w:p w14:paraId="31A6B5F8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80" w:type="dxa"/>
          </w:tcPr>
          <w:p w14:paraId="639FB07A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890" w:type="dxa"/>
          </w:tcPr>
          <w:p w14:paraId="004219CE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8</w:t>
            </w:r>
          </w:p>
        </w:tc>
      </w:tr>
      <w:tr w:rsidR="004E1461" w:rsidRPr="00F74979" w14:paraId="579D01B5" w14:textId="77777777" w:rsidTr="004E1461">
        <w:tc>
          <w:tcPr>
            <w:tcW w:w="1137" w:type="dxa"/>
          </w:tcPr>
          <w:p w14:paraId="1AC244EB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1.</w:t>
            </w:r>
          </w:p>
        </w:tc>
        <w:tc>
          <w:tcPr>
            <w:tcW w:w="1986" w:type="dxa"/>
          </w:tcPr>
          <w:p w14:paraId="29DAA176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A100208 KARADAR</w:t>
            </w:r>
          </w:p>
        </w:tc>
        <w:tc>
          <w:tcPr>
            <w:tcW w:w="1289" w:type="dxa"/>
          </w:tcPr>
          <w:p w14:paraId="4370E500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996" w:type="dxa"/>
          </w:tcPr>
          <w:p w14:paraId="5D0E0AE0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1180" w:type="dxa"/>
          </w:tcPr>
          <w:p w14:paraId="7EC41BAC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12.000,00</w:t>
            </w:r>
          </w:p>
        </w:tc>
        <w:tc>
          <w:tcPr>
            <w:tcW w:w="1341" w:type="dxa"/>
          </w:tcPr>
          <w:p w14:paraId="44668FB1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2.870,46</w:t>
            </w:r>
          </w:p>
        </w:tc>
        <w:tc>
          <w:tcPr>
            <w:tcW w:w="980" w:type="dxa"/>
          </w:tcPr>
          <w:p w14:paraId="2DA35D08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0</w:t>
            </w:r>
          </w:p>
        </w:tc>
        <w:tc>
          <w:tcPr>
            <w:tcW w:w="890" w:type="dxa"/>
          </w:tcPr>
          <w:p w14:paraId="6F34CCAD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23,92</w:t>
            </w:r>
          </w:p>
        </w:tc>
      </w:tr>
      <w:tr w:rsidR="004E1461" w:rsidRPr="00F74979" w14:paraId="30F4C5F8" w14:textId="77777777" w:rsidTr="004E1461">
        <w:tc>
          <w:tcPr>
            <w:tcW w:w="1137" w:type="dxa"/>
          </w:tcPr>
          <w:p w14:paraId="3D575625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1986" w:type="dxa"/>
          </w:tcPr>
          <w:p w14:paraId="5A9097AA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289" w:type="dxa"/>
          </w:tcPr>
          <w:p w14:paraId="781746DF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0</w:t>
            </w:r>
          </w:p>
        </w:tc>
        <w:tc>
          <w:tcPr>
            <w:tcW w:w="996" w:type="dxa"/>
          </w:tcPr>
          <w:p w14:paraId="3006CB5B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0</w:t>
            </w:r>
          </w:p>
        </w:tc>
        <w:tc>
          <w:tcPr>
            <w:tcW w:w="1180" w:type="dxa"/>
          </w:tcPr>
          <w:p w14:paraId="0FB41CBB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12.000,00</w:t>
            </w:r>
          </w:p>
        </w:tc>
        <w:tc>
          <w:tcPr>
            <w:tcW w:w="1341" w:type="dxa"/>
          </w:tcPr>
          <w:p w14:paraId="0BBEEE08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2.870,46</w:t>
            </w:r>
          </w:p>
        </w:tc>
        <w:tc>
          <w:tcPr>
            <w:tcW w:w="980" w:type="dxa"/>
          </w:tcPr>
          <w:p w14:paraId="36BE4FF2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</w:p>
        </w:tc>
        <w:tc>
          <w:tcPr>
            <w:tcW w:w="890" w:type="dxa"/>
          </w:tcPr>
          <w:p w14:paraId="3E0DC2BE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23,92</w:t>
            </w:r>
          </w:p>
        </w:tc>
      </w:tr>
    </w:tbl>
    <w:p w14:paraId="395B97DB" w14:textId="77777777" w:rsidR="002F7EC3" w:rsidRPr="00F74979" w:rsidRDefault="004E1461" w:rsidP="004E1461">
      <w:pPr>
        <w:spacing w:after="0" w:line="240" w:lineRule="auto"/>
        <w:rPr>
          <w:rFonts w:cstheme="minorHAnsi"/>
        </w:rPr>
      </w:pPr>
      <w:r w:rsidRPr="00F74979">
        <w:rPr>
          <w:rFonts w:cstheme="minorHAnsi"/>
          <w:b/>
        </w:rPr>
        <w:lastRenderedPageBreak/>
        <w:t xml:space="preserve">POKAZATELJI USPJEŠNOSTI </w:t>
      </w:r>
      <w:r w:rsidRPr="00F74979">
        <w:rPr>
          <w:rFonts w:cstheme="minorHAnsi"/>
          <w:b/>
          <w:u w:val="single"/>
        </w:rPr>
        <w:t>PROGRAMA</w:t>
      </w:r>
      <w:r w:rsidRPr="00F74979">
        <w:rPr>
          <w:rFonts w:cstheme="minorHAnsi"/>
          <w:b/>
        </w:rPr>
        <w:t xml:space="preserve">: </w:t>
      </w:r>
    </w:p>
    <w:p w14:paraId="09DD8175" w14:textId="77777777" w:rsidR="002F7EC3" w:rsidRPr="00F74979" w:rsidRDefault="002F7EC3" w:rsidP="004E1461">
      <w:pPr>
        <w:spacing w:after="0" w:line="240" w:lineRule="auto"/>
        <w:rPr>
          <w:rFonts w:cstheme="minorHAnsi"/>
        </w:rPr>
      </w:pPr>
      <w:r w:rsidRPr="00F74979">
        <w:rPr>
          <w:rFonts w:cstheme="minorHAnsi"/>
        </w:rPr>
        <w:t>Obzirom da se upisi učenika u školsku godinu 2023./2024. vrše tek u srpnju 2023. godine, u trenutku izrade polugodišnjeg izvršenja financijskog plana nije moguće iskazati rezultate, odnosno pokazatelje uspješnosti ovog programa i aktivnosti A100208 KARADAR.</w:t>
      </w:r>
    </w:p>
    <w:p w14:paraId="11BC1144" w14:textId="77777777" w:rsidR="004E1461" w:rsidRPr="00F74979" w:rsidRDefault="004E1461" w:rsidP="004E1461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448"/>
        <w:gridCol w:w="2877"/>
        <w:gridCol w:w="1276"/>
        <w:gridCol w:w="1502"/>
        <w:gridCol w:w="1502"/>
        <w:gridCol w:w="1502"/>
      </w:tblGrid>
      <w:tr w:rsidR="004E1461" w:rsidRPr="00F74979" w14:paraId="6486CAA7" w14:textId="77777777" w:rsidTr="004E1461">
        <w:trPr>
          <w:trHeight w:val="366"/>
        </w:trPr>
        <w:tc>
          <w:tcPr>
            <w:tcW w:w="1448" w:type="dxa"/>
            <w:vAlign w:val="center"/>
          </w:tcPr>
          <w:p w14:paraId="76EF142C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77" w:type="dxa"/>
            <w:vAlign w:val="center"/>
          </w:tcPr>
          <w:p w14:paraId="4CE5DE36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Definicija</w:t>
            </w:r>
          </w:p>
        </w:tc>
        <w:tc>
          <w:tcPr>
            <w:tcW w:w="1276" w:type="dxa"/>
            <w:vAlign w:val="center"/>
          </w:tcPr>
          <w:p w14:paraId="298A8BC5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Jedinica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4320C95A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Polazna vrijednost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BD951CB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B941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Izvršenje 01.01.-30.06.2023.</w:t>
            </w:r>
          </w:p>
        </w:tc>
      </w:tr>
      <w:tr w:rsidR="003823DE" w:rsidRPr="00F74979" w14:paraId="76A44881" w14:textId="77777777" w:rsidTr="004E1461">
        <w:trPr>
          <w:trHeight w:val="119"/>
        </w:trPr>
        <w:tc>
          <w:tcPr>
            <w:tcW w:w="1448" w:type="dxa"/>
          </w:tcPr>
          <w:p w14:paraId="221952EB" w14:textId="77777777" w:rsidR="003823DE" w:rsidRPr="00F74979" w:rsidRDefault="003823DE" w:rsidP="0099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broj učenika upisan deficitarna zanimanja</w:t>
            </w:r>
          </w:p>
        </w:tc>
        <w:tc>
          <w:tcPr>
            <w:tcW w:w="2877" w:type="dxa"/>
          </w:tcPr>
          <w:p w14:paraId="408ECA94" w14:textId="77777777" w:rsidR="003823DE" w:rsidRPr="00F74979" w:rsidRDefault="003823DE" w:rsidP="004E1461">
            <w:pPr>
              <w:rPr>
                <w:rFonts w:cstheme="minorHAnsi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Poticanje obrazovanja učenika u deficitarnim zanimanjima doprinosi poboljšanju strukture radnog stanovništva u skladu s potrebama tržišta rada</w:t>
            </w:r>
          </w:p>
        </w:tc>
        <w:tc>
          <w:tcPr>
            <w:tcW w:w="1276" w:type="dxa"/>
          </w:tcPr>
          <w:p w14:paraId="40FE5500" w14:textId="77777777" w:rsidR="003823DE" w:rsidRPr="00F74979" w:rsidRDefault="003823DE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ascii="Times New Roman" w:hAnsi="Times New Roman" w:cs="Times New Roman"/>
                <w:b/>
                <w:sz w:val="20"/>
                <w:szCs w:val="20"/>
              </w:rPr>
              <w:t>Broj učenika upisanih u 1. razred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80FB48B" w14:textId="77777777" w:rsidR="003823DE" w:rsidRPr="00F74979" w:rsidRDefault="003823DE" w:rsidP="009932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D8E26A5" w14:textId="77777777" w:rsidR="003823DE" w:rsidRPr="00F74979" w:rsidRDefault="003823DE" w:rsidP="009932A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3C05" w14:textId="77777777" w:rsidR="003823DE" w:rsidRPr="00F74979" w:rsidRDefault="00127B44" w:rsidP="00127B44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ascii="Times New Roman" w:hAnsi="Times New Roman" w:cs="Times New Roman"/>
                <w:sz w:val="20"/>
                <w:szCs w:val="20"/>
              </w:rPr>
              <w:t>NEMJERLJIVI REZULTATI ZA OVAJ PERIOD</w:t>
            </w:r>
          </w:p>
        </w:tc>
      </w:tr>
    </w:tbl>
    <w:p w14:paraId="177E8203" w14:textId="77777777" w:rsidR="004E1461" w:rsidRDefault="004E1461" w:rsidP="00F5575E">
      <w:pPr>
        <w:spacing w:after="0" w:line="240" w:lineRule="auto"/>
        <w:rPr>
          <w:rFonts w:cstheme="minorHAnsi"/>
          <w:b/>
        </w:rPr>
      </w:pPr>
    </w:p>
    <w:p w14:paraId="6B4E7E62" w14:textId="77777777" w:rsidR="00F74979" w:rsidRPr="00F74979" w:rsidRDefault="00F74979" w:rsidP="00F5575E">
      <w:pPr>
        <w:spacing w:after="0" w:line="240" w:lineRule="auto"/>
        <w:rPr>
          <w:rFonts w:cstheme="minorHAnsi"/>
          <w:b/>
        </w:rPr>
      </w:pPr>
    </w:p>
    <w:p w14:paraId="3D5378E0" w14:textId="77777777" w:rsidR="004E1461" w:rsidRPr="00F74979" w:rsidRDefault="004E1461" w:rsidP="004E146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74979">
        <w:rPr>
          <w:rFonts w:ascii="Times New Roman" w:hAnsi="Times New Roman" w:cs="Times New Roman"/>
          <w:b/>
          <w:sz w:val="20"/>
          <w:szCs w:val="20"/>
          <w:highlight w:val="yellow"/>
        </w:rPr>
        <w:t>ŠIFRA I NAZIV PROGRAMA:</w:t>
      </w:r>
      <w:r w:rsidRPr="00F74979">
        <w:rPr>
          <w:rFonts w:ascii="Times New Roman" w:hAnsi="Times New Roman" w:cs="Times New Roman"/>
          <w:b/>
          <w:sz w:val="20"/>
          <w:szCs w:val="20"/>
          <w:highlight w:val="yellow"/>
        </w:rPr>
        <w:tab/>
        <w:t>201 MZOS PLAĆE SŠ</w:t>
      </w:r>
    </w:p>
    <w:p w14:paraId="46510C35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/>
        </w:rPr>
      </w:pPr>
      <w:r w:rsidRPr="00F74979">
        <w:rPr>
          <w:rFonts w:cstheme="minorHAnsi"/>
          <w:b/>
        </w:rPr>
        <w:t xml:space="preserve">SVRHA PROGRAMA: </w:t>
      </w:r>
    </w:p>
    <w:p w14:paraId="2E4E1722" w14:textId="77777777" w:rsidR="004E1461" w:rsidRPr="00F74979" w:rsidRDefault="004E1461" w:rsidP="0067394C">
      <w:pPr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F74979">
        <w:rPr>
          <w:rFonts w:eastAsia="Times New Roman" w:cstheme="minorHAnsi"/>
          <w:color w:val="000000"/>
          <w:lang w:eastAsia="ar-SA"/>
        </w:rPr>
        <w:t>Ispunjenje zakonskih obveza prema zaposlenima.</w:t>
      </w:r>
    </w:p>
    <w:p w14:paraId="04DA50F1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/>
        </w:rPr>
      </w:pPr>
    </w:p>
    <w:p w14:paraId="465FDC02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Cs/>
          <w:iCs/>
        </w:rPr>
      </w:pPr>
      <w:r w:rsidRPr="00F74979">
        <w:rPr>
          <w:rFonts w:cstheme="minorHAnsi"/>
          <w:b/>
        </w:rPr>
        <w:t xml:space="preserve">POVEZANOST PROGRAMA SA STRATEŠKIM DOKUMENTIMA: </w:t>
      </w:r>
    </w:p>
    <w:p w14:paraId="668803E1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>Prava radnika i obveze prema radnicima temeljem radnog odnosa definirana su zakonskim propisima, a obveze i prava se ostvaruju radom i ostvarenjem Godišnjeg plana i programa Škole te Školskog kurikuluma.</w:t>
      </w:r>
    </w:p>
    <w:p w14:paraId="0B09AFB3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/>
        </w:rPr>
      </w:pPr>
    </w:p>
    <w:p w14:paraId="0DA61B28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  <w:b/>
        </w:rPr>
        <w:t xml:space="preserve">ZAKONSKE I DRUGE PODLOGE NA KOJIMA SE PROGRAM ZASNIVA: </w:t>
      </w:r>
    </w:p>
    <w:p w14:paraId="386C78B1" w14:textId="77777777" w:rsidR="004E1461" w:rsidRPr="00F74979" w:rsidRDefault="004E1461" w:rsidP="0067394C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F74979">
        <w:rPr>
          <w:rFonts w:cstheme="minorHAnsi"/>
          <w:bCs/>
          <w:lang w:eastAsia="ar-SA"/>
        </w:rPr>
        <w:t xml:space="preserve">Zakon o radu (NN </w:t>
      </w:r>
      <w:hyperlink r:id="rId11" w:history="1">
        <w:r w:rsidRPr="00F74979">
          <w:rPr>
            <w:rFonts w:cstheme="minorHAnsi"/>
            <w:lang w:eastAsia="ar-SA"/>
          </w:rPr>
          <w:t>93/14</w:t>
        </w:r>
      </w:hyperlink>
      <w:r w:rsidRPr="00F74979">
        <w:rPr>
          <w:rFonts w:cstheme="minorHAnsi"/>
          <w:bCs/>
          <w:lang w:eastAsia="ar-SA"/>
        </w:rPr>
        <w:t>, </w:t>
      </w:r>
      <w:hyperlink r:id="rId12" w:history="1">
        <w:r w:rsidRPr="00F74979">
          <w:rPr>
            <w:rFonts w:cstheme="minorHAnsi"/>
            <w:lang w:eastAsia="ar-SA"/>
          </w:rPr>
          <w:t>127/17</w:t>
        </w:r>
      </w:hyperlink>
      <w:r w:rsidRPr="00F74979">
        <w:rPr>
          <w:rFonts w:cstheme="minorHAnsi"/>
          <w:bCs/>
          <w:lang w:eastAsia="ar-SA"/>
        </w:rPr>
        <w:t>, </w:t>
      </w:r>
      <w:hyperlink r:id="rId13" w:tgtFrame="_blank" w:history="1">
        <w:r w:rsidRPr="00F74979">
          <w:rPr>
            <w:rFonts w:cstheme="minorHAnsi"/>
            <w:lang w:eastAsia="ar-SA"/>
          </w:rPr>
          <w:t>98/19</w:t>
        </w:r>
      </w:hyperlink>
      <w:r w:rsidRPr="00F74979">
        <w:rPr>
          <w:rFonts w:cstheme="minorHAnsi"/>
          <w:bCs/>
          <w:lang w:eastAsia="ar-SA"/>
        </w:rPr>
        <w:t>)</w:t>
      </w:r>
    </w:p>
    <w:p w14:paraId="345EE9C1" w14:textId="77777777" w:rsidR="004E1461" w:rsidRPr="00F74979" w:rsidRDefault="004E1461" w:rsidP="0067394C">
      <w:pPr>
        <w:suppressAutoHyphens/>
        <w:autoSpaceDE w:val="0"/>
        <w:snapToGrid w:val="0"/>
        <w:spacing w:after="0" w:line="240" w:lineRule="auto"/>
        <w:jc w:val="both"/>
        <w:rPr>
          <w:rFonts w:cstheme="minorHAnsi"/>
          <w:bCs/>
          <w:lang w:eastAsia="ar-SA"/>
        </w:rPr>
      </w:pPr>
      <w:r w:rsidRPr="00F74979">
        <w:rPr>
          <w:rFonts w:cstheme="minorHAnsi"/>
          <w:bCs/>
          <w:lang w:eastAsia="ar-SA"/>
        </w:rPr>
        <w:t>Temeljni kolektivni ugovor za javne službenike i namještenike ( NN 56/2022)</w:t>
      </w:r>
    </w:p>
    <w:p w14:paraId="383A6795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color w:val="000000"/>
          <w:shd w:val="clear" w:color="auto" w:fill="F4F4F6"/>
        </w:rPr>
      </w:pPr>
      <w:r w:rsidRPr="00F74979">
        <w:rPr>
          <w:rFonts w:cstheme="minorHAnsi"/>
          <w:bCs/>
          <w:lang w:eastAsia="ar-SA"/>
        </w:rPr>
        <w:t>Kolektivni ugovor za zaposlene u srednjoškolskim ustanovama (NN 51/2018)</w:t>
      </w:r>
      <w:r w:rsidRPr="00F74979">
        <w:rPr>
          <w:rFonts w:cstheme="minorHAnsi"/>
          <w:color w:val="000000"/>
          <w:shd w:val="clear" w:color="auto" w:fill="F4F4F6"/>
        </w:rPr>
        <w:t> </w:t>
      </w:r>
    </w:p>
    <w:p w14:paraId="33A48A22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</w:rPr>
      </w:pPr>
    </w:p>
    <w:p w14:paraId="4A540D5F" w14:textId="77777777" w:rsidR="004E1461" w:rsidRPr="00F74979" w:rsidRDefault="004E1461" w:rsidP="0067394C">
      <w:pPr>
        <w:spacing w:after="0" w:line="240" w:lineRule="auto"/>
        <w:jc w:val="both"/>
        <w:rPr>
          <w:rFonts w:cstheme="minorHAnsi"/>
          <w:bCs/>
        </w:rPr>
      </w:pPr>
      <w:r w:rsidRPr="00F74979">
        <w:rPr>
          <w:rFonts w:cstheme="minorHAnsi"/>
          <w:b/>
          <w:bCs/>
        </w:rPr>
        <w:t xml:space="preserve">IZVRŠENJE </w:t>
      </w:r>
      <w:r w:rsidRPr="00F74979">
        <w:rPr>
          <w:rFonts w:cstheme="minorHAnsi"/>
          <w:b/>
          <w:bCs/>
          <w:u w:val="single"/>
        </w:rPr>
        <w:t>PROGRAMA</w:t>
      </w:r>
      <w:r w:rsidRPr="00F74979">
        <w:rPr>
          <w:rFonts w:cstheme="minorHAnsi"/>
          <w:b/>
          <w:bCs/>
        </w:rPr>
        <w:t xml:space="preserve"> S OSVRTOM NA CILJEVE KOJI SU OSTVARENI NJEGOVOM PROVEDBOM</w:t>
      </w:r>
      <w:r w:rsidR="00D236FA" w:rsidRPr="00F74979">
        <w:rPr>
          <w:rFonts w:cstheme="minorHAnsi"/>
          <w:b/>
          <w:bCs/>
        </w:rPr>
        <w:t>:</w:t>
      </w:r>
      <w:r w:rsidR="00D236FA" w:rsidRPr="00F74979">
        <w:rPr>
          <w:rFonts w:cstheme="minorHAnsi"/>
          <w:b/>
          <w:bCs/>
        </w:rPr>
        <w:br/>
      </w:r>
      <w:r w:rsidR="00D236FA" w:rsidRPr="00F74979">
        <w:rPr>
          <w:rFonts w:cstheme="minorHAnsi"/>
          <w:bCs/>
        </w:rPr>
        <w:t xml:space="preserve">Aktivnost uključuje rashode koje se odnose na plaće zaposlenika te ostala prava prema kolektivnim ugovorima koje isplaćuje Ministarstvo znanosti i obrazovanja te isplatu plaće prema sudskim presudama i sudske pristojbe za troškove suda za isplate 6% osnovice za period 12-2015 do 1-2017. </w:t>
      </w:r>
    </w:p>
    <w:p w14:paraId="1591D93F" w14:textId="77777777" w:rsidR="00677668" w:rsidRPr="00F74979" w:rsidRDefault="00677668" w:rsidP="0067394C">
      <w:pPr>
        <w:spacing w:after="0" w:line="240" w:lineRule="auto"/>
        <w:jc w:val="both"/>
        <w:rPr>
          <w:rFonts w:cstheme="minorHAnsi"/>
          <w:bCs/>
        </w:rPr>
      </w:pPr>
    </w:p>
    <w:p w14:paraId="1747F04D" w14:textId="77777777" w:rsidR="00677668" w:rsidRPr="00F74979" w:rsidRDefault="00677668" w:rsidP="0067394C">
      <w:pPr>
        <w:spacing w:after="0" w:line="240" w:lineRule="auto"/>
        <w:jc w:val="both"/>
        <w:rPr>
          <w:rFonts w:cstheme="minorHAnsi"/>
          <w:bCs/>
        </w:rPr>
      </w:pPr>
      <w:r w:rsidRPr="00F74979">
        <w:rPr>
          <w:rFonts w:cstheme="minorHAnsi"/>
          <w:bCs/>
        </w:rPr>
        <w:t>U razdoblju od 1.1.2023.do 30.6.2023. je ostvareno ukupno 590.566,20 EUR rashoda , odnosno 48,61% plana i to: 487.429,40 EUR za plaće zaposlenih, 19.725,99 EUR za materijalna prava (pomoći, jubilarne nagrade, regres), 80.402,46 EUR za zdravstveno osiguranje, 1.922,37 EUR za sudske pristojbe i troškove sudskih postupaka, te 1.046,03 EUR zateznih kamata. Ove je godine donesena presuda i isplaćeno 3 tužbe djelatnika za razliku osnovice plaće za period od 12-15 do 1-17, za dvije tužbe se čeka pravomoćnost, a još za tri presuda.</w:t>
      </w:r>
    </w:p>
    <w:p w14:paraId="3DDA661B" w14:textId="77777777" w:rsidR="00677668" w:rsidRPr="00F74979" w:rsidRDefault="00677668" w:rsidP="0067394C">
      <w:pPr>
        <w:spacing w:after="0" w:line="240" w:lineRule="auto"/>
        <w:jc w:val="both"/>
        <w:rPr>
          <w:rFonts w:cstheme="minorHAnsi"/>
          <w:bCs/>
        </w:rPr>
      </w:pPr>
    </w:p>
    <w:p w14:paraId="7E8BF31F" w14:textId="77777777" w:rsidR="00677668" w:rsidRPr="00F74979" w:rsidRDefault="00677668" w:rsidP="0067394C">
      <w:pPr>
        <w:spacing w:after="0" w:line="240" w:lineRule="auto"/>
        <w:jc w:val="both"/>
        <w:rPr>
          <w:rFonts w:cstheme="minorHAnsi"/>
          <w:b/>
          <w:bCs/>
        </w:rPr>
      </w:pPr>
      <w:r w:rsidRPr="00F74979">
        <w:rPr>
          <w:rFonts w:cstheme="minorHAnsi"/>
          <w:bCs/>
        </w:rPr>
        <w:t xml:space="preserve">Ostvareno je ukupno 591.375,43 EUR prihoda, od čega se 981,74 EUR </w:t>
      </w:r>
      <w:r w:rsidR="00EB3F9E" w:rsidRPr="00F74979">
        <w:rPr>
          <w:rFonts w:cstheme="minorHAnsi"/>
          <w:bCs/>
        </w:rPr>
        <w:t xml:space="preserve">odnosi na </w:t>
      </w:r>
      <w:r w:rsidRPr="00F74979">
        <w:rPr>
          <w:rFonts w:cstheme="minorHAnsi"/>
          <w:bCs/>
        </w:rPr>
        <w:t xml:space="preserve">za materijalna prava za 12-2022, dok se ostatak prihoda odnosi na rashode za zaposlene u 2023. </w:t>
      </w:r>
      <w:r w:rsidR="00EB3F9E" w:rsidRPr="00F74979">
        <w:rPr>
          <w:rFonts w:cstheme="minorHAnsi"/>
          <w:bCs/>
        </w:rPr>
        <w:t>g</w:t>
      </w:r>
      <w:r w:rsidRPr="00F74979">
        <w:rPr>
          <w:rFonts w:cstheme="minorHAnsi"/>
          <w:bCs/>
        </w:rPr>
        <w:t>odini.</w:t>
      </w:r>
    </w:p>
    <w:p w14:paraId="59FAD9E1" w14:textId="77777777" w:rsidR="004E1461" w:rsidRPr="00F74979" w:rsidRDefault="004E1461" w:rsidP="004E1461">
      <w:pPr>
        <w:spacing w:after="0" w:line="240" w:lineRule="auto"/>
        <w:rPr>
          <w:rFonts w:cstheme="minorHAnsi"/>
          <w:b/>
          <w:bCs/>
        </w:rPr>
      </w:pPr>
    </w:p>
    <w:p w14:paraId="0785830E" w14:textId="77777777" w:rsidR="004E1461" w:rsidRPr="00F74979" w:rsidRDefault="004E1461" w:rsidP="004E1461">
      <w:pPr>
        <w:spacing w:after="0" w:line="240" w:lineRule="auto"/>
        <w:rPr>
          <w:rFonts w:cstheme="minorHAnsi"/>
          <w:b/>
          <w:bCs/>
        </w:rPr>
      </w:pPr>
      <w:r w:rsidRPr="00F74979">
        <w:rPr>
          <w:rFonts w:cstheme="minorHAnsi"/>
          <w:b/>
          <w:bCs/>
        </w:rPr>
        <w:t>IZVRŠENJE FINANCIJSKOG PLANA ZA SIJEČANJ-LIPANJ 2023.</w:t>
      </w:r>
    </w:p>
    <w:tbl>
      <w:tblPr>
        <w:tblStyle w:val="Reetkatablice"/>
        <w:tblW w:w="10320" w:type="dxa"/>
        <w:tblLook w:val="04A0" w:firstRow="1" w:lastRow="0" w:firstColumn="1" w:lastColumn="0" w:noHBand="0" w:noVBand="1"/>
      </w:tblPr>
      <w:tblGrid>
        <w:gridCol w:w="1064"/>
        <w:gridCol w:w="2014"/>
        <w:gridCol w:w="1306"/>
        <w:gridCol w:w="1408"/>
        <w:gridCol w:w="1408"/>
        <w:gridCol w:w="1306"/>
        <w:gridCol w:w="907"/>
        <w:gridCol w:w="907"/>
      </w:tblGrid>
      <w:tr w:rsidR="004E1461" w:rsidRPr="00F74979" w14:paraId="796638F6" w14:textId="77777777" w:rsidTr="004E1461">
        <w:trPr>
          <w:trHeight w:val="824"/>
        </w:trPr>
        <w:tc>
          <w:tcPr>
            <w:tcW w:w="1064" w:type="dxa"/>
          </w:tcPr>
          <w:p w14:paraId="28015C4C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2014" w:type="dxa"/>
          </w:tcPr>
          <w:p w14:paraId="573E8987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Naziv aktivnosti/projekta</w:t>
            </w:r>
          </w:p>
        </w:tc>
        <w:tc>
          <w:tcPr>
            <w:tcW w:w="1306" w:type="dxa"/>
          </w:tcPr>
          <w:p w14:paraId="152EE98C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IZVRŠENJE 01.01.-30.06.2022.</w:t>
            </w:r>
          </w:p>
        </w:tc>
        <w:tc>
          <w:tcPr>
            <w:tcW w:w="1408" w:type="dxa"/>
          </w:tcPr>
          <w:p w14:paraId="43C249BF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 xml:space="preserve">PLAN </w:t>
            </w:r>
          </w:p>
          <w:p w14:paraId="0F93EC79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408" w:type="dxa"/>
          </w:tcPr>
          <w:p w14:paraId="38E38765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 xml:space="preserve">I REBALANS </w:t>
            </w:r>
          </w:p>
          <w:p w14:paraId="0BCDF254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2023.</w:t>
            </w:r>
          </w:p>
        </w:tc>
        <w:tc>
          <w:tcPr>
            <w:tcW w:w="1306" w:type="dxa"/>
          </w:tcPr>
          <w:p w14:paraId="76D642AD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IZVRŠENJE 01.01.-30.06.2023.</w:t>
            </w:r>
          </w:p>
        </w:tc>
        <w:tc>
          <w:tcPr>
            <w:tcW w:w="907" w:type="dxa"/>
          </w:tcPr>
          <w:p w14:paraId="14C8CF9A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INDEKS %</w:t>
            </w:r>
          </w:p>
          <w:p w14:paraId="76D0F805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6/3</w:t>
            </w:r>
          </w:p>
        </w:tc>
        <w:tc>
          <w:tcPr>
            <w:tcW w:w="907" w:type="dxa"/>
          </w:tcPr>
          <w:p w14:paraId="49C7D70B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INDEKS %</w:t>
            </w:r>
          </w:p>
          <w:p w14:paraId="1291AB53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6/5</w:t>
            </w:r>
          </w:p>
        </w:tc>
      </w:tr>
      <w:tr w:rsidR="004E1461" w:rsidRPr="00F74979" w14:paraId="149518F6" w14:textId="77777777" w:rsidTr="004E1461">
        <w:trPr>
          <w:trHeight w:val="266"/>
        </w:trPr>
        <w:tc>
          <w:tcPr>
            <w:tcW w:w="1064" w:type="dxa"/>
          </w:tcPr>
          <w:p w14:paraId="61A41CD7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014" w:type="dxa"/>
          </w:tcPr>
          <w:p w14:paraId="6FF35E76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306" w:type="dxa"/>
          </w:tcPr>
          <w:p w14:paraId="667BC675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08" w:type="dxa"/>
          </w:tcPr>
          <w:p w14:paraId="35795E6E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408" w:type="dxa"/>
          </w:tcPr>
          <w:p w14:paraId="0C287955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306" w:type="dxa"/>
          </w:tcPr>
          <w:p w14:paraId="07C35D6A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907" w:type="dxa"/>
          </w:tcPr>
          <w:p w14:paraId="6CE37370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907" w:type="dxa"/>
          </w:tcPr>
          <w:p w14:paraId="6CD077E9" w14:textId="77777777" w:rsidR="004E1461" w:rsidRPr="00F74979" w:rsidRDefault="004E1461" w:rsidP="004E1461">
            <w:pPr>
              <w:jc w:val="center"/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8</w:t>
            </w:r>
          </w:p>
        </w:tc>
      </w:tr>
      <w:tr w:rsidR="004E1461" w:rsidRPr="00F74979" w14:paraId="66992E4E" w14:textId="77777777" w:rsidTr="004E1461">
        <w:trPr>
          <w:trHeight w:val="545"/>
        </w:trPr>
        <w:tc>
          <w:tcPr>
            <w:tcW w:w="1064" w:type="dxa"/>
          </w:tcPr>
          <w:p w14:paraId="36EB5DD3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1.</w:t>
            </w:r>
          </w:p>
        </w:tc>
        <w:tc>
          <w:tcPr>
            <w:tcW w:w="2014" w:type="dxa"/>
          </w:tcPr>
          <w:p w14:paraId="7E7B33ED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A200201 MZOS PLAĆE SŠ</w:t>
            </w:r>
          </w:p>
        </w:tc>
        <w:tc>
          <w:tcPr>
            <w:tcW w:w="1306" w:type="dxa"/>
          </w:tcPr>
          <w:p w14:paraId="578407DA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530.031,97</w:t>
            </w:r>
          </w:p>
        </w:tc>
        <w:tc>
          <w:tcPr>
            <w:tcW w:w="1408" w:type="dxa"/>
          </w:tcPr>
          <w:p w14:paraId="7F2E20AA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1.080.000,00</w:t>
            </w:r>
          </w:p>
        </w:tc>
        <w:tc>
          <w:tcPr>
            <w:tcW w:w="1408" w:type="dxa"/>
          </w:tcPr>
          <w:p w14:paraId="27A81E3C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1.215.000,00</w:t>
            </w:r>
          </w:p>
        </w:tc>
        <w:tc>
          <w:tcPr>
            <w:tcW w:w="1306" w:type="dxa"/>
          </w:tcPr>
          <w:p w14:paraId="779C9CAA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590.566,20</w:t>
            </w:r>
          </w:p>
        </w:tc>
        <w:tc>
          <w:tcPr>
            <w:tcW w:w="907" w:type="dxa"/>
          </w:tcPr>
          <w:p w14:paraId="4E3320CA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111,42</w:t>
            </w:r>
          </w:p>
        </w:tc>
        <w:tc>
          <w:tcPr>
            <w:tcW w:w="907" w:type="dxa"/>
          </w:tcPr>
          <w:p w14:paraId="1A7DC91D" w14:textId="77777777" w:rsidR="004E1461" w:rsidRPr="00F74979" w:rsidRDefault="004E1461" w:rsidP="004E1461">
            <w:pPr>
              <w:rPr>
                <w:rFonts w:cstheme="minorHAnsi"/>
              </w:rPr>
            </w:pPr>
            <w:r w:rsidRPr="00F74979">
              <w:rPr>
                <w:rFonts w:cstheme="minorHAnsi"/>
              </w:rPr>
              <w:t>48,61</w:t>
            </w:r>
          </w:p>
        </w:tc>
      </w:tr>
      <w:tr w:rsidR="004E1461" w:rsidRPr="00F74979" w14:paraId="547CB575" w14:textId="77777777" w:rsidTr="004E1461">
        <w:trPr>
          <w:trHeight w:val="824"/>
        </w:trPr>
        <w:tc>
          <w:tcPr>
            <w:tcW w:w="1064" w:type="dxa"/>
          </w:tcPr>
          <w:p w14:paraId="1D925F33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  <w:r w:rsidRPr="00F74979">
              <w:rPr>
                <w:rFonts w:cstheme="minorHAnsi"/>
                <w:b/>
                <w:bCs/>
              </w:rPr>
              <w:t>Ukupno program:</w:t>
            </w:r>
          </w:p>
        </w:tc>
        <w:tc>
          <w:tcPr>
            <w:tcW w:w="2014" w:type="dxa"/>
          </w:tcPr>
          <w:p w14:paraId="135ADA7B" w14:textId="77777777" w:rsidR="004E1461" w:rsidRPr="00F74979" w:rsidRDefault="004E1461" w:rsidP="004E146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06" w:type="dxa"/>
          </w:tcPr>
          <w:p w14:paraId="1F7C67F1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530.031,97</w:t>
            </w:r>
          </w:p>
        </w:tc>
        <w:tc>
          <w:tcPr>
            <w:tcW w:w="1408" w:type="dxa"/>
          </w:tcPr>
          <w:p w14:paraId="02AC586E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1.080.000,00</w:t>
            </w:r>
          </w:p>
        </w:tc>
        <w:tc>
          <w:tcPr>
            <w:tcW w:w="1408" w:type="dxa"/>
          </w:tcPr>
          <w:p w14:paraId="28C91934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1.215.000,00</w:t>
            </w:r>
          </w:p>
        </w:tc>
        <w:tc>
          <w:tcPr>
            <w:tcW w:w="1306" w:type="dxa"/>
          </w:tcPr>
          <w:p w14:paraId="45D89DEF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590.566,20</w:t>
            </w:r>
          </w:p>
        </w:tc>
        <w:tc>
          <w:tcPr>
            <w:tcW w:w="907" w:type="dxa"/>
          </w:tcPr>
          <w:p w14:paraId="222FB397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111,42</w:t>
            </w:r>
          </w:p>
        </w:tc>
        <w:tc>
          <w:tcPr>
            <w:tcW w:w="907" w:type="dxa"/>
          </w:tcPr>
          <w:p w14:paraId="1B097290" w14:textId="77777777" w:rsidR="004E1461" w:rsidRPr="00F74979" w:rsidRDefault="004E1461" w:rsidP="004E1461">
            <w:pPr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48,61</w:t>
            </w:r>
          </w:p>
        </w:tc>
      </w:tr>
    </w:tbl>
    <w:p w14:paraId="4F4A3DB8" w14:textId="77777777" w:rsidR="004E1461" w:rsidRPr="00F74979" w:rsidRDefault="004E1461" w:rsidP="004E1461">
      <w:pPr>
        <w:spacing w:after="0" w:line="240" w:lineRule="auto"/>
        <w:rPr>
          <w:rFonts w:cstheme="minorHAnsi"/>
          <w:b/>
          <w:bCs/>
        </w:rPr>
      </w:pPr>
    </w:p>
    <w:p w14:paraId="6E2E8B1E" w14:textId="77777777" w:rsidR="004E1461" w:rsidRPr="00F74979" w:rsidRDefault="004E1461" w:rsidP="004E1461">
      <w:pPr>
        <w:spacing w:after="0" w:line="240" w:lineRule="auto"/>
        <w:rPr>
          <w:rFonts w:cstheme="minorHAnsi"/>
          <w:b/>
          <w:highlight w:val="yellow"/>
        </w:rPr>
      </w:pPr>
    </w:p>
    <w:p w14:paraId="0A9BDE7C" w14:textId="77777777" w:rsidR="00F815B4" w:rsidRPr="00F74979" w:rsidRDefault="004E1461" w:rsidP="00F815B4">
      <w:pPr>
        <w:rPr>
          <w:rFonts w:cstheme="minorHAnsi"/>
          <w:b/>
        </w:rPr>
      </w:pPr>
      <w:r w:rsidRPr="00F74979">
        <w:rPr>
          <w:rFonts w:cstheme="minorHAnsi"/>
          <w:b/>
        </w:rPr>
        <w:lastRenderedPageBreak/>
        <w:t xml:space="preserve">POKAZATELJI USPJEŠNOSTI </w:t>
      </w:r>
      <w:r w:rsidRPr="00F74979">
        <w:rPr>
          <w:rFonts w:cstheme="minorHAnsi"/>
          <w:b/>
          <w:u w:val="single"/>
        </w:rPr>
        <w:t>PROGRAMA</w:t>
      </w:r>
      <w:r w:rsidRPr="00F74979">
        <w:rPr>
          <w:rFonts w:cstheme="minorHAnsi"/>
          <w:b/>
        </w:rPr>
        <w:t xml:space="preserve">: </w:t>
      </w:r>
    </w:p>
    <w:p w14:paraId="18B2F3C5" w14:textId="77777777" w:rsidR="004E1461" w:rsidRPr="00F74979" w:rsidRDefault="00F815B4" w:rsidP="00F815B4">
      <w:pPr>
        <w:rPr>
          <w:rFonts w:ascii="Calibri" w:hAnsi="Calibri" w:cs="Calibri"/>
          <w:b/>
        </w:rPr>
      </w:pPr>
      <w:r w:rsidRPr="00F74979">
        <w:rPr>
          <w:rFonts w:ascii="Calibri" w:hAnsi="Calibri" w:cs="Calibri"/>
          <w:bCs/>
          <w:lang w:eastAsia="ar-SA"/>
        </w:rPr>
        <w:t>U 2023. godini nije bilo zaprimljenih službenih pritužbi djelatnika u urudžbeni zapisnik, niti Radničkom vijeću niti sindikalnim povjerenicima.</w:t>
      </w:r>
    </w:p>
    <w:tbl>
      <w:tblPr>
        <w:tblStyle w:val="Reetkatablice"/>
        <w:tblW w:w="10107" w:type="dxa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1417"/>
        <w:gridCol w:w="1418"/>
        <w:gridCol w:w="1267"/>
        <w:gridCol w:w="1502"/>
      </w:tblGrid>
      <w:tr w:rsidR="004E1461" w:rsidRPr="00F74979" w14:paraId="57826104" w14:textId="77777777" w:rsidTr="0067394C">
        <w:trPr>
          <w:trHeight w:val="366"/>
        </w:trPr>
        <w:tc>
          <w:tcPr>
            <w:tcW w:w="1668" w:type="dxa"/>
            <w:vAlign w:val="center"/>
          </w:tcPr>
          <w:p w14:paraId="243E934D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35" w:type="dxa"/>
            <w:vAlign w:val="center"/>
          </w:tcPr>
          <w:p w14:paraId="0FA5B66F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Definicija</w:t>
            </w:r>
          </w:p>
        </w:tc>
        <w:tc>
          <w:tcPr>
            <w:tcW w:w="1417" w:type="dxa"/>
            <w:vAlign w:val="center"/>
          </w:tcPr>
          <w:p w14:paraId="63548269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Jedinica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C1BD7ED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Polazna vrijednost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13377A83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Ciljana vrijednost 2023.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E25" w14:textId="77777777" w:rsidR="004E1461" w:rsidRPr="00F74979" w:rsidRDefault="004E1461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cstheme="minorHAnsi"/>
                <w:b/>
              </w:rPr>
              <w:t>Izvršenje 01.01.-30.06.2023.</w:t>
            </w:r>
          </w:p>
        </w:tc>
      </w:tr>
      <w:tr w:rsidR="00A727E7" w:rsidRPr="00F74979" w14:paraId="0C332BEC" w14:textId="77777777" w:rsidTr="0067394C">
        <w:trPr>
          <w:trHeight w:val="2365"/>
        </w:trPr>
        <w:tc>
          <w:tcPr>
            <w:tcW w:w="1668" w:type="dxa"/>
          </w:tcPr>
          <w:p w14:paraId="3FD0AC8C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ar-SA"/>
              </w:rPr>
              <w:t>Broj podnesenih službenih pritužbi na ostvarenje radno materijalnih prava na urudžbeni odjel</w:t>
            </w:r>
          </w:p>
        </w:tc>
        <w:tc>
          <w:tcPr>
            <w:tcW w:w="2835" w:type="dxa"/>
          </w:tcPr>
          <w:p w14:paraId="43784562" w14:textId="77777777" w:rsidR="00A727E7" w:rsidRPr="00F74979" w:rsidRDefault="00A727E7" w:rsidP="004E1461">
            <w:pPr>
              <w:rPr>
                <w:rFonts w:cstheme="minorHAnsi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 xml:space="preserve">Što niži broj pritužbi zbog nemogućnosti ostvarenja radno- materijalnih prava pridonosi većem zadovoljstvu radnika i većoj produktivnosti  </w:t>
            </w:r>
          </w:p>
        </w:tc>
        <w:tc>
          <w:tcPr>
            <w:tcW w:w="1417" w:type="dxa"/>
          </w:tcPr>
          <w:p w14:paraId="780AA839" w14:textId="77777777" w:rsidR="00A727E7" w:rsidRPr="00F74979" w:rsidRDefault="00A727E7" w:rsidP="004E1461">
            <w:pPr>
              <w:jc w:val="center"/>
              <w:rPr>
                <w:rFonts w:cstheme="minorHAnsi"/>
                <w:b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Broj pritužbi evidentiran u urudžbenom zapisniku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bottom"/>
          </w:tcPr>
          <w:p w14:paraId="4BE49AED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 0</w:t>
            </w:r>
          </w:p>
        </w:tc>
        <w:tc>
          <w:tcPr>
            <w:tcW w:w="1267" w:type="dxa"/>
            <w:tcBorders>
              <w:right w:val="single" w:sz="4" w:space="0" w:color="auto"/>
            </w:tcBorders>
            <w:vAlign w:val="bottom"/>
          </w:tcPr>
          <w:p w14:paraId="1C1858A2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 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ECDB" w14:textId="77777777" w:rsidR="00A727E7" w:rsidRPr="00F74979" w:rsidRDefault="00A727E7" w:rsidP="004E1461">
            <w:pPr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  <w:p w14:paraId="23E77BA1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27EA2E3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4F3B984F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3C4EF13C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3B894FCE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1DC776D7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0826EA41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57F5726A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</w:p>
          <w:p w14:paraId="7E332C30" w14:textId="77777777" w:rsidR="00A727E7" w:rsidRPr="00F74979" w:rsidRDefault="00A727E7" w:rsidP="00A727E7">
            <w:pPr>
              <w:rPr>
                <w:rFonts w:eastAsia="Times New Roman" w:cstheme="minorHAnsi"/>
                <w:color w:val="000000"/>
                <w:lang w:eastAsia="hr-HR"/>
              </w:rPr>
            </w:pPr>
            <w:r w:rsidRPr="00F74979">
              <w:rPr>
                <w:rFonts w:eastAsia="Times New Roman" w:cstheme="minorHAnsi"/>
                <w:color w:val="000000"/>
                <w:lang w:eastAsia="hr-HR"/>
              </w:rPr>
              <w:t>0</w:t>
            </w:r>
          </w:p>
        </w:tc>
      </w:tr>
    </w:tbl>
    <w:p w14:paraId="2228A13A" w14:textId="77777777" w:rsidR="004E1461" w:rsidRDefault="004E1461" w:rsidP="00F5575E">
      <w:pPr>
        <w:spacing w:after="0" w:line="240" w:lineRule="auto"/>
        <w:rPr>
          <w:rFonts w:cstheme="minorHAnsi"/>
          <w:b/>
        </w:rPr>
      </w:pPr>
    </w:p>
    <w:p w14:paraId="0BBDF328" w14:textId="77777777" w:rsidR="00F74979" w:rsidRPr="00F74979" w:rsidRDefault="00F74979" w:rsidP="00F5575E">
      <w:pPr>
        <w:spacing w:after="0" w:line="240" w:lineRule="auto"/>
        <w:rPr>
          <w:rFonts w:cstheme="minorHAnsi"/>
          <w:b/>
        </w:rPr>
      </w:pPr>
    </w:p>
    <w:p w14:paraId="11260B25" w14:textId="77777777" w:rsidR="00F5575E" w:rsidRPr="00F74979" w:rsidRDefault="00AF0CD1" w:rsidP="00F5575E">
      <w:pPr>
        <w:spacing w:after="0" w:line="240" w:lineRule="auto"/>
        <w:rPr>
          <w:rFonts w:cstheme="minorHAnsi"/>
        </w:rPr>
      </w:pPr>
      <w:r w:rsidRPr="00F74979">
        <w:rPr>
          <w:rFonts w:cstheme="minorHAnsi"/>
          <w:b/>
        </w:rPr>
        <w:t xml:space="preserve">OBJAVLJENO: </w:t>
      </w:r>
      <w:hyperlink r:id="rId14" w:history="1">
        <w:r w:rsidR="00F815B4" w:rsidRPr="00F74979">
          <w:rPr>
            <w:rStyle w:val="Hiperveza"/>
            <w:rFonts w:cstheme="minorHAnsi"/>
            <w:b/>
          </w:rPr>
          <w:t>http://ss-mios-ka.skole.hr/financije</w:t>
        </w:r>
        <w:r w:rsidR="00F815B4" w:rsidRPr="00F74979">
          <w:rPr>
            <w:rStyle w:val="Hiperveza"/>
            <w:rFonts w:cstheme="minorHAnsi"/>
            <w:b/>
            <w:color w:val="auto"/>
            <w:u w:val="none"/>
          </w:rPr>
          <w:t xml:space="preserve"> </w:t>
        </w:r>
        <w:r w:rsidR="00F815B4" w:rsidRPr="00F74979">
          <w:rPr>
            <w:rStyle w:val="Hiperveza"/>
            <w:rFonts w:cstheme="minorHAnsi"/>
            <w:color w:val="auto"/>
            <w:u w:val="none"/>
          </w:rPr>
          <w:t>pod Financije 2023</w:t>
        </w:r>
      </w:hyperlink>
      <w:r w:rsidR="00F815B4" w:rsidRPr="00F74979">
        <w:rPr>
          <w:rFonts w:cstheme="minorHAnsi"/>
        </w:rPr>
        <w:t>. dana 19.7.2023.</w:t>
      </w:r>
    </w:p>
    <w:p w14:paraId="7B863419" w14:textId="77777777" w:rsidR="00E53A28" w:rsidRPr="00F74979" w:rsidRDefault="00E53A28" w:rsidP="00E53A28">
      <w:pPr>
        <w:spacing w:after="0" w:line="240" w:lineRule="auto"/>
        <w:jc w:val="center"/>
        <w:rPr>
          <w:rFonts w:cstheme="minorHAnsi"/>
        </w:rPr>
      </w:pPr>
    </w:p>
    <w:p w14:paraId="6689A2FC" w14:textId="77777777" w:rsidR="00F815B4" w:rsidRPr="00F74979" w:rsidRDefault="00F815B4" w:rsidP="00F815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979">
        <w:rPr>
          <w:rFonts w:ascii="Times New Roman" w:hAnsi="Times New Roman" w:cs="Times New Roman"/>
          <w:sz w:val="20"/>
          <w:szCs w:val="20"/>
        </w:rPr>
        <w:t>Klasa</w:t>
      </w:r>
      <w:r w:rsidR="00ED676E" w:rsidRPr="00F74979">
        <w:rPr>
          <w:rFonts w:ascii="Times New Roman" w:hAnsi="Times New Roman" w:cs="Times New Roman"/>
          <w:sz w:val="20"/>
          <w:szCs w:val="20"/>
        </w:rPr>
        <w:t>: 400-04</w:t>
      </w:r>
      <w:r w:rsidRPr="00F74979">
        <w:rPr>
          <w:rFonts w:ascii="Times New Roman" w:hAnsi="Times New Roman" w:cs="Times New Roman"/>
          <w:sz w:val="20"/>
          <w:szCs w:val="20"/>
        </w:rPr>
        <w:t>/23-01/</w:t>
      </w:r>
      <w:r w:rsidR="00ED676E" w:rsidRPr="00F74979">
        <w:rPr>
          <w:rFonts w:ascii="Times New Roman" w:hAnsi="Times New Roman" w:cs="Times New Roman"/>
          <w:sz w:val="20"/>
          <w:szCs w:val="20"/>
        </w:rPr>
        <w:t>13</w:t>
      </w:r>
    </w:p>
    <w:p w14:paraId="493E79C9" w14:textId="77777777" w:rsidR="00F815B4" w:rsidRPr="00F74979" w:rsidRDefault="00F815B4" w:rsidP="00F815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979">
        <w:rPr>
          <w:rFonts w:ascii="Times New Roman" w:hAnsi="Times New Roman" w:cs="Times New Roman"/>
          <w:sz w:val="20"/>
          <w:szCs w:val="20"/>
        </w:rPr>
        <w:t>Urbroj: 2133-48-01-23-01</w:t>
      </w:r>
    </w:p>
    <w:p w14:paraId="7CD2DE7F" w14:textId="77777777" w:rsidR="00F815B4" w:rsidRPr="00F74979" w:rsidRDefault="00F815B4" w:rsidP="00F815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4979">
        <w:rPr>
          <w:rFonts w:ascii="Times New Roman" w:hAnsi="Times New Roman" w:cs="Times New Roman"/>
          <w:sz w:val="20"/>
          <w:szCs w:val="20"/>
        </w:rPr>
        <w:t>Karlovac</w:t>
      </w:r>
      <w:r w:rsidR="00ED676E" w:rsidRPr="00F74979">
        <w:rPr>
          <w:rFonts w:ascii="Times New Roman" w:hAnsi="Times New Roman" w:cs="Times New Roman"/>
          <w:sz w:val="20"/>
          <w:szCs w:val="20"/>
        </w:rPr>
        <w:t>, 19.7</w:t>
      </w:r>
      <w:r w:rsidRPr="00F74979">
        <w:rPr>
          <w:rFonts w:ascii="Times New Roman" w:hAnsi="Times New Roman" w:cs="Times New Roman"/>
          <w:sz w:val="20"/>
          <w:szCs w:val="20"/>
        </w:rPr>
        <w:t>.2023.</w:t>
      </w:r>
    </w:p>
    <w:p w14:paraId="40AE9D1B" w14:textId="77777777" w:rsidR="00F815B4" w:rsidRPr="00F74979" w:rsidRDefault="00F815B4" w:rsidP="0067394C">
      <w:pPr>
        <w:spacing w:after="0" w:line="240" w:lineRule="auto"/>
        <w:rPr>
          <w:rFonts w:cstheme="minorHAnsi"/>
        </w:rPr>
      </w:pPr>
    </w:p>
    <w:p w14:paraId="05CDEF1A" w14:textId="77777777" w:rsidR="00F815B4" w:rsidRPr="00F74979" w:rsidRDefault="00012B6D" w:rsidP="006A24C4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>Predsjednica Školskog odbora</w:t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  <w:t>M.P.</w:t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  <w:t>ravnateljica</w:t>
      </w:r>
    </w:p>
    <w:p w14:paraId="485A6733" w14:textId="77777777" w:rsidR="00012B6D" w:rsidRPr="00F74979" w:rsidRDefault="00012B6D" w:rsidP="006A24C4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>Kristinka Jurčević</w:t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  <w:t>Snježana Erdeljac</w:t>
      </w:r>
    </w:p>
    <w:p w14:paraId="4F35F68E" w14:textId="77777777" w:rsidR="00012B6D" w:rsidRPr="00F74979" w:rsidRDefault="00012B6D" w:rsidP="006A24C4">
      <w:pPr>
        <w:spacing w:after="0" w:line="240" w:lineRule="auto"/>
        <w:jc w:val="both"/>
        <w:rPr>
          <w:rFonts w:cstheme="minorHAnsi"/>
        </w:rPr>
      </w:pPr>
    </w:p>
    <w:p w14:paraId="6440760F" w14:textId="77777777" w:rsidR="00012B6D" w:rsidRPr="00F74979" w:rsidRDefault="00012B6D" w:rsidP="006A24C4">
      <w:pPr>
        <w:spacing w:after="0" w:line="240" w:lineRule="auto"/>
        <w:jc w:val="both"/>
        <w:rPr>
          <w:rFonts w:cstheme="minorHAnsi"/>
        </w:rPr>
      </w:pPr>
      <w:r w:rsidRPr="00F74979">
        <w:rPr>
          <w:rFonts w:cstheme="minorHAnsi"/>
        </w:rPr>
        <w:t>____________________</w:t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</w:r>
      <w:r w:rsidRPr="00F74979">
        <w:rPr>
          <w:rFonts w:cstheme="minorHAnsi"/>
        </w:rPr>
        <w:tab/>
        <w:t>___________________</w:t>
      </w:r>
    </w:p>
    <w:sectPr w:rsidR="00012B6D" w:rsidRPr="00F74979" w:rsidSect="0067394C">
      <w:headerReference w:type="default" r:id="rId15"/>
      <w:pgSz w:w="11906" w:h="16838"/>
      <w:pgMar w:top="1135" w:right="1133" w:bottom="993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6E27" w14:textId="77777777" w:rsidR="00F67155" w:rsidRDefault="00F67155" w:rsidP="00BD6C77">
      <w:pPr>
        <w:spacing w:after="0" w:line="240" w:lineRule="auto"/>
      </w:pPr>
      <w:r>
        <w:separator/>
      </w:r>
    </w:p>
  </w:endnote>
  <w:endnote w:type="continuationSeparator" w:id="0">
    <w:p w14:paraId="3B7B8298" w14:textId="77777777" w:rsidR="00F67155" w:rsidRDefault="00F67155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F0279" w14:textId="77777777" w:rsidR="00F67155" w:rsidRDefault="00F67155" w:rsidP="00BD6C77">
      <w:pPr>
        <w:spacing w:after="0" w:line="240" w:lineRule="auto"/>
      </w:pPr>
      <w:r>
        <w:separator/>
      </w:r>
    </w:p>
  </w:footnote>
  <w:footnote w:type="continuationSeparator" w:id="0">
    <w:p w14:paraId="2ADF1E76" w14:textId="77777777" w:rsidR="00F67155" w:rsidRDefault="00F67155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6D9F" w14:textId="77777777" w:rsidR="004C1DD3" w:rsidRDefault="004C1DD3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04D8D"/>
    <w:multiLevelType w:val="hybridMultilevel"/>
    <w:tmpl w:val="4574E3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92"/>
    <w:rsid w:val="00012B6D"/>
    <w:rsid w:val="00035F64"/>
    <w:rsid w:val="00041292"/>
    <w:rsid w:val="000466BA"/>
    <w:rsid w:val="0006163C"/>
    <w:rsid w:val="000962DA"/>
    <w:rsid w:val="000A299D"/>
    <w:rsid w:val="000A3913"/>
    <w:rsid w:val="000A3D39"/>
    <w:rsid w:val="000A4649"/>
    <w:rsid w:val="000B157C"/>
    <w:rsid w:val="000B5F4E"/>
    <w:rsid w:val="000B7D54"/>
    <w:rsid w:val="000C7146"/>
    <w:rsid w:val="000D251C"/>
    <w:rsid w:val="000F5586"/>
    <w:rsid w:val="00125605"/>
    <w:rsid w:val="00127B44"/>
    <w:rsid w:val="00136336"/>
    <w:rsid w:val="00136EB3"/>
    <w:rsid w:val="00183B7D"/>
    <w:rsid w:val="001B1A33"/>
    <w:rsid w:val="001B2703"/>
    <w:rsid w:val="001C4649"/>
    <w:rsid w:val="001D1D44"/>
    <w:rsid w:val="001E2764"/>
    <w:rsid w:val="001E6D4E"/>
    <w:rsid w:val="001E7ED0"/>
    <w:rsid w:val="001F303C"/>
    <w:rsid w:val="001F3D6E"/>
    <w:rsid w:val="001F6A85"/>
    <w:rsid w:val="00237B87"/>
    <w:rsid w:val="002448D1"/>
    <w:rsid w:val="00250BF2"/>
    <w:rsid w:val="002733A8"/>
    <w:rsid w:val="0028607F"/>
    <w:rsid w:val="002B21B5"/>
    <w:rsid w:val="002E7F25"/>
    <w:rsid w:val="002F0E55"/>
    <w:rsid w:val="002F3F32"/>
    <w:rsid w:val="002F7EC3"/>
    <w:rsid w:val="00304143"/>
    <w:rsid w:val="0034781F"/>
    <w:rsid w:val="00353F4A"/>
    <w:rsid w:val="00377DF3"/>
    <w:rsid w:val="003823DE"/>
    <w:rsid w:val="00383D24"/>
    <w:rsid w:val="003842D8"/>
    <w:rsid w:val="003B5DC8"/>
    <w:rsid w:val="003B7565"/>
    <w:rsid w:val="003C556A"/>
    <w:rsid w:val="0041124A"/>
    <w:rsid w:val="004145CD"/>
    <w:rsid w:val="00416938"/>
    <w:rsid w:val="00426EF2"/>
    <w:rsid w:val="00434AEE"/>
    <w:rsid w:val="00462FB6"/>
    <w:rsid w:val="0046436F"/>
    <w:rsid w:val="00471ECA"/>
    <w:rsid w:val="004830B5"/>
    <w:rsid w:val="00492421"/>
    <w:rsid w:val="004A7D8C"/>
    <w:rsid w:val="004B2479"/>
    <w:rsid w:val="004C1DD3"/>
    <w:rsid w:val="004C4C10"/>
    <w:rsid w:val="004D38A2"/>
    <w:rsid w:val="004E1461"/>
    <w:rsid w:val="005105E8"/>
    <w:rsid w:val="00516B67"/>
    <w:rsid w:val="005522EA"/>
    <w:rsid w:val="00552D61"/>
    <w:rsid w:val="005535A8"/>
    <w:rsid w:val="00557442"/>
    <w:rsid w:val="00565359"/>
    <w:rsid w:val="0059015E"/>
    <w:rsid w:val="005A543C"/>
    <w:rsid w:val="005B04BA"/>
    <w:rsid w:val="005B4A74"/>
    <w:rsid w:val="005C14CC"/>
    <w:rsid w:val="005D77DD"/>
    <w:rsid w:val="005E27AD"/>
    <w:rsid w:val="00611899"/>
    <w:rsid w:val="006512D3"/>
    <w:rsid w:val="00661574"/>
    <w:rsid w:val="00662460"/>
    <w:rsid w:val="0067394C"/>
    <w:rsid w:val="00674FEA"/>
    <w:rsid w:val="00677668"/>
    <w:rsid w:val="00682D12"/>
    <w:rsid w:val="00687652"/>
    <w:rsid w:val="006A24C4"/>
    <w:rsid w:val="006B2C8C"/>
    <w:rsid w:val="006E28D1"/>
    <w:rsid w:val="006E33DD"/>
    <w:rsid w:val="006E4A87"/>
    <w:rsid w:val="006E7B89"/>
    <w:rsid w:val="006F4C13"/>
    <w:rsid w:val="006F783B"/>
    <w:rsid w:val="00707B38"/>
    <w:rsid w:val="0072784F"/>
    <w:rsid w:val="0074216D"/>
    <w:rsid w:val="00742729"/>
    <w:rsid w:val="00745A71"/>
    <w:rsid w:val="007472F4"/>
    <w:rsid w:val="007631A4"/>
    <w:rsid w:val="00766B49"/>
    <w:rsid w:val="00782B4C"/>
    <w:rsid w:val="00782B7F"/>
    <w:rsid w:val="00797702"/>
    <w:rsid w:val="007B0E36"/>
    <w:rsid w:val="007E3FAA"/>
    <w:rsid w:val="007E7F03"/>
    <w:rsid w:val="00800948"/>
    <w:rsid w:val="00812D8A"/>
    <w:rsid w:val="00830DC9"/>
    <w:rsid w:val="00833252"/>
    <w:rsid w:val="0083635B"/>
    <w:rsid w:val="00847ABC"/>
    <w:rsid w:val="008507DB"/>
    <w:rsid w:val="00854FBC"/>
    <w:rsid w:val="00861373"/>
    <w:rsid w:val="00873545"/>
    <w:rsid w:val="008874B8"/>
    <w:rsid w:val="00897600"/>
    <w:rsid w:val="008C3520"/>
    <w:rsid w:val="008D180C"/>
    <w:rsid w:val="008F50BE"/>
    <w:rsid w:val="00947B10"/>
    <w:rsid w:val="00956A13"/>
    <w:rsid w:val="009932AE"/>
    <w:rsid w:val="009A4EB5"/>
    <w:rsid w:val="009B6F21"/>
    <w:rsid w:val="009C7513"/>
    <w:rsid w:val="009E4DEC"/>
    <w:rsid w:val="009E574C"/>
    <w:rsid w:val="009F2EDF"/>
    <w:rsid w:val="009F434F"/>
    <w:rsid w:val="00A04AFC"/>
    <w:rsid w:val="00A22D76"/>
    <w:rsid w:val="00A476AB"/>
    <w:rsid w:val="00A546E2"/>
    <w:rsid w:val="00A56CC9"/>
    <w:rsid w:val="00A60BD1"/>
    <w:rsid w:val="00A727E7"/>
    <w:rsid w:val="00A841AD"/>
    <w:rsid w:val="00AC1CB2"/>
    <w:rsid w:val="00AC5CB5"/>
    <w:rsid w:val="00AD296D"/>
    <w:rsid w:val="00AD5BAF"/>
    <w:rsid w:val="00AE1C6F"/>
    <w:rsid w:val="00AF0CD1"/>
    <w:rsid w:val="00AF6529"/>
    <w:rsid w:val="00B04636"/>
    <w:rsid w:val="00B05EAF"/>
    <w:rsid w:val="00B23F58"/>
    <w:rsid w:val="00B257AE"/>
    <w:rsid w:val="00B36200"/>
    <w:rsid w:val="00B52841"/>
    <w:rsid w:val="00B60E49"/>
    <w:rsid w:val="00B6185A"/>
    <w:rsid w:val="00B632B7"/>
    <w:rsid w:val="00B768CA"/>
    <w:rsid w:val="00B83B33"/>
    <w:rsid w:val="00BA666B"/>
    <w:rsid w:val="00BB6917"/>
    <w:rsid w:val="00BD6C77"/>
    <w:rsid w:val="00BE1BF3"/>
    <w:rsid w:val="00C04A06"/>
    <w:rsid w:val="00C1421C"/>
    <w:rsid w:val="00C167B5"/>
    <w:rsid w:val="00C24317"/>
    <w:rsid w:val="00C31E85"/>
    <w:rsid w:val="00C600DF"/>
    <w:rsid w:val="00C72056"/>
    <w:rsid w:val="00C72363"/>
    <w:rsid w:val="00C81037"/>
    <w:rsid w:val="00CA722F"/>
    <w:rsid w:val="00CB5E40"/>
    <w:rsid w:val="00CD1EBF"/>
    <w:rsid w:val="00CE5137"/>
    <w:rsid w:val="00CE786B"/>
    <w:rsid w:val="00D10AFD"/>
    <w:rsid w:val="00D129C2"/>
    <w:rsid w:val="00D236FA"/>
    <w:rsid w:val="00D3713E"/>
    <w:rsid w:val="00D475A5"/>
    <w:rsid w:val="00D506BF"/>
    <w:rsid w:val="00D70965"/>
    <w:rsid w:val="00D73B33"/>
    <w:rsid w:val="00D83803"/>
    <w:rsid w:val="00D91547"/>
    <w:rsid w:val="00DA7DC6"/>
    <w:rsid w:val="00DC5351"/>
    <w:rsid w:val="00DE3194"/>
    <w:rsid w:val="00E15078"/>
    <w:rsid w:val="00E323E8"/>
    <w:rsid w:val="00E426F1"/>
    <w:rsid w:val="00E53A28"/>
    <w:rsid w:val="00E646C3"/>
    <w:rsid w:val="00E80D60"/>
    <w:rsid w:val="00E96B86"/>
    <w:rsid w:val="00EA357D"/>
    <w:rsid w:val="00EB3F9E"/>
    <w:rsid w:val="00ED040F"/>
    <w:rsid w:val="00ED676E"/>
    <w:rsid w:val="00EF2A5A"/>
    <w:rsid w:val="00EF78DA"/>
    <w:rsid w:val="00F36E51"/>
    <w:rsid w:val="00F5575E"/>
    <w:rsid w:val="00F65E70"/>
    <w:rsid w:val="00F67155"/>
    <w:rsid w:val="00F74979"/>
    <w:rsid w:val="00F815B4"/>
    <w:rsid w:val="00F85B9E"/>
    <w:rsid w:val="00F97B8A"/>
    <w:rsid w:val="00FA07E7"/>
    <w:rsid w:val="00FA6877"/>
    <w:rsid w:val="00FA7880"/>
    <w:rsid w:val="00FB55C9"/>
    <w:rsid w:val="00FD658F"/>
    <w:rsid w:val="00FD7999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67E03"/>
  <w15:docId w15:val="{58199481-471E-4DEF-A63D-3B0725EF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D1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D38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4D38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F0CD1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4D38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D38A2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185" TargetMode="External"/><Relationship Id="rId13" Type="http://schemas.openxmlformats.org/officeDocument/2006/relationships/hyperlink" Target="https://www.zakon.hr/cms.htm?id=407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2618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61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zakon.hr/cms.htm?id=407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6183" TargetMode="External"/><Relationship Id="rId14" Type="http://schemas.openxmlformats.org/officeDocument/2006/relationships/hyperlink" Target="http://ss-mios-ka.skole.hr/financije%20pod%20Financije%20202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B8D8-237E-4A7A-8FA8-167B48E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5225</Words>
  <Characters>29789</Characters>
  <Application>Microsoft Office Word</Application>
  <DocSecurity>0</DocSecurity>
  <Lines>248</Lines>
  <Paragraphs>69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34945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 Licul</dc:creator>
  <cp:lastModifiedBy>Dubravka Čanić</cp:lastModifiedBy>
  <cp:revision>2</cp:revision>
  <cp:lastPrinted>2023-07-17T10:02:00Z</cp:lastPrinted>
  <dcterms:created xsi:type="dcterms:W3CDTF">2023-07-18T10:15:00Z</dcterms:created>
  <dcterms:modified xsi:type="dcterms:W3CDTF">2023-07-18T10:15:00Z</dcterms:modified>
</cp:coreProperties>
</file>